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D64B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山东公用水务集团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有限公司 </w:t>
      </w:r>
    </w:p>
    <w:p w14:paraId="14D27224">
      <w:pPr>
        <w:snapToGrid w:val="0"/>
        <w:spacing w:line="640" w:lineRule="exact"/>
        <w:jc w:val="center"/>
        <w:rPr>
          <w:rFonts w:hint="eastAsia" w:ascii="宋体" w:hAnsi="宋体" w:eastAsia="方正小标宋简体" w:cs="宋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财务重大信息公开</w:t>
      </w:r>
    </w:p>
    <w:p w14:paraId="2DCF7D9D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7CFC8EFD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一、公司基本情况 </w:t>
      </w:r>
    </w:p>
    <w:p w14:paraId="1965E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.公司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山东公用水务集团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有限公司</w:t>
      </w:r>
    </w:p>
    <w:p w14:paraId="3AA5C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法定代表人：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王宗莉</w:t>
      </w:r>
    </w:p>
    <w:p w14:paraId="67F0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注册地址：山东省济宁市任城区红星中路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号</w:t>
      </w:r>
    </w:p>
    <w:p w14:paraId="79602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经营范围：自来水生产和供应；污水处理及其再生利用；水务行业的投资、建设、设计、施工、经营管理；水质化验；水务技术开发、技术咨询。（依法须经批准的项目，经相关部门批准后方可开展经营活动） </w:t>
      </w:r>
    </w:p>
    <w:p w14:paraId="314B0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公司简介:公司为山东公用全资子公司，注册资本金50000万元人民币，统筹管理邹城、兖州、嘉祥、汶上、泗水等11个县区的供水及污水产业，下辖邹城公用水务有限公司、嘉祥公用水务有限公司、济宁兖州区公用水务有限公司等18个全资、控股公司，现有员工约1440人，权属污水处理厂22座(其中在建污水厂5座)、总设计规模87.5万m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/d，2024年污水处理总量19360万m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; 供水厂60座，服务面积约2300平方公里，服务人口约360万，2024年城镇供水总量9895万m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；截至2025年上半年，水务集团资产总额66.42亿元，净资产约14.75亿元。</w:t>
      </w:r>
    </w:p>
    <w:p w14:paraId="50E35260">
      <w:pPr>
        <w:snapToGrid w:val="0"/>
        <w:spacing w:line="580" w:lineRule="exact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二、主要会计数据和财务指标（截至到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2025年6月30日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）</w:t>
      </w:r>
    </w:p>
    <w:p w14:paraId="28964039">
      <w:pPr>
        <w:ind w:firstLine="7020" w:firstLineChars="3900"/>
        <w:rPr>
          <w:rFonts w:hint="eastAsia" w:ascii="方正黑体简体" w:hAnsi="方正黑体简体" w:eastAsia="方正黑体简体" w:cs="方正黑体简体"/>
          <w:sz w:val="18"/>
          <w:szCs w:val="18"/>
        </w:rPr>
      </w:pPr>
    </w:p>
    <w:p w14:paraId="6E7F5FE2">
      <w:pPr>
        <w:ind w:firstLine="6960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 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4977"/>
      </w:tblGrid>
      <w:tr w14:paraId="41E6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E92C36B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  <w:vAlign w:val="top"/>
          </w:tcPr>
          <w:p w14:paraId="53DE0AC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51,484.00</w:t>
            </w:r>
          </w:p>
        </w:tc>
      </w:tr>
      <w:tr w14:paraId="368F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5260FA8D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  <w:vAlign w:val="top"/>
          </w:tcPr>
          <w:p w14:paraId="4C319930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43,091.00</w:t>
            </w:r>
          </w:p>
        </w:tc>
      </w:tr>
      <w:tr w14:paraId="1020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6A29D150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  <w:vAlign w:val="top"/>
          </w:tcPr>
          <w:p w14:paraId="1880B2C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9,463.00</w:t>
            </w:r>
          </w:p>
        </w:tc>
      </w:tr>
      <w:tr w14:paraId="615D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520DC86C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净利润</w:t>
            </w:r>
          </w:p>
        </w:tc>
        <w:tc>
          <w:tcPr>
            <w:tcW w:w="4977" w:type="dxa"/>
            <w:vAlign w:val="top"/>
          </w:tcPr>
          <w:p w14:paraId="2014431C">
            <w:pPr>
              <w:snapToGrid w:val="0"/>
              <w:spacing w:line="580" w:lineRule="exact"/>
              <w:ind w:firstLine="48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7,520.00</w:t>
            </w:r>
          </w:p>
        </w:tc>
      </w:tr>
      <w:tr w14:paraId="75B3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EC9435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  <w:vAlign w:val="top"/>
          </w:tcPr>
          <w:p w14:paraId="60811CB4">
            <w:pPr>
              <w:snapToGrid w:val="0"/>
              <w:spacing w:line="580" w:lineRule="exact"/>
              <w:ind w:firstLine="48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672,129.00</w:t>
            </w:r>
          </w:p>
        </w:tc>
      </w:tr>
      <w:tr w14:paraId="6801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4D0FE96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  <w:vAlign w:val="top"/>
          </w:tcPr>
          <w:p w14:paraId="0DB07057">
            <w:pPr>
              <w:snapToGrid w:val="0"/>
              <w:spacing w:line="580" w:lineRule="exact"/>
              <w:ind w:firstLine="48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510,065.00</w:t>
            </w:r>
          </w:p>
        </w:tc>
      </w:tr>
      <w:tr w14:paraId="7D44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2EC54D6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  <w:vAlign w:val="top"/>
          </w:tcPr>
          <w:p w14:paraId="6B780981">
            <w:pPr>
              <w:snapToGrid w:val="0"/>
              <w:spacing w:line="580" w:lineRule="exact"/>
              <w:ind w:firstLine="48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162,064.00</w:t>
            </w:r>
          </w:p>
        </w:tc>
      </w:tr>
    </w:tbl>
    <w:p w14:paraId="603D6B5B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三、财务预算执行情况</w:t>
      </w:r>
    </w:p>
    <w:p w14:paraId="7E0ED295">
      <w:pPr>
        <w:snapToGrid w:val="0"/>
        <w:spacing w:line="58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营业收入：本年预算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89,655.00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万元，截至到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2025年6月30日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，完成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49.04%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16ED7D32">
      <w:pPr>
        <w:snapToGrid w:val="0"/>
        <w:spacing w:line="580" w:lineRule="exact"/>
        <w:ind w:firstLine="643" w:firstLineChars="200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利润总额：本年预算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10,203.00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万元，截至到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2025年6月30日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，完成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75.53%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542F9124">
      <w:pPr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年度中期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内发生的重大事项及对企业的影响</w:t>
      </w:r>
    </w:p>
    <w:p w14:paraId="09E3861F">
      <w:pPr>
        <w:snapToGrid w:val="0"/>
        <w:spacing w:line="58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2098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WY1MTZiMTkyZjJiYmE4ZmY2NmQ4YzIyODA0ODMifQ=="/>
  </w:docVars>
  <w:rsids>
    <w:rsidRoot w:val="13CC2444"/>
    <w:rsid w:val="001410B8"/>
    <w:rsid w:val="00332EF0"/>
    <w:rsid w:val="003F77BE"/>
    <w:rsid w:val="007E3428"/>
    <w:rsid w:val="007E5379"/>
    <w:rsid w:val="00AC6AB4"/>
    <w:rsid w:val="00BC3130"/>
    <w:rsid w:val="00C455E3"/>
    <w:rsid w:val="00C65B77"/>
    <w:rsid w:val="00D321DA"/>
    <w:rsid w:val="00EA422D"/>
    <w:rsid w:val="00FC157F"/>
    <w:rsid w:val="06DF3B7E"/>
    <w:rsid w:val="09EC724C"/>
    <w:rsid w:val="0C301E0D"/>
    <w:rsid w:val="0D211E36"/>
    <w:rsid w:val="0D6D5D2C"/>
    <w:rsid w:val="13CC2444"/>
    <w:rsid w:val="141C4B30"/>
    <w:rsid w:val="180477A4"/>
    <w:rsid w:val="18F16C5C"/>
    <w:rsid w:val="19560A59"/>
    <w:rsid w:val="1C496371"/>
    <w:rsid w:val="1C5B3DCF"/>
    <w:rsid w:val="1DB14616"/>
    <w:rsid w:val="29D47C5C"/>
    <w:rsid w:val="2A4822AF"/>
    <w:rsid w:val="2CB31F06"/>
    <w:rsid w:val="2D9F5C7A"/>
    <w:rsid w:val="31540A61"/>
    <w:rsid w:val="33A06D59"/>
    <w:rsid w:val="33A670F3"/>
    <w:rsid w:val="360E65F9"/>
    <w:rsid w:val="3B82507E"/>
    <w:rsid w:val="40E1715D"/>
    <w:rsid w:val="419C0824"/>
    <w:rsid w:val="44244964"/>
    <w:rsid w:val="461300B7"/>
    <w:rsid w:val="49EA5BB6"/>
    <w:rsid w:val="57404164"/>
    <w:rsid w:val="5A0D4889"/>
    <w:rsid w:val="5C3F1FC0"/>
    <w:rsid w:val="5C83014D"/>
    <w:rsid w:val="5E145AF2"/>
    <w:rsid w:val="5F372BCB"/>
    <w:rsid w:val="5F412942"/>
    <w:rsid w:val="60785E58"/>
    <w:rsid w:val="678437B5"/>
    <w:rsid w:val="693919DF"/>
    <w:rsid w:val="6F966EFC"/>
    <w:rsid w:val="70C1078D"/>
    <w:rsid w:val="7451111C"/>
    <w:rsid w:val="75D26FF0"/>
    <w:rsid w:val="775A30EF"/>
    <w:rsid w:val="7D952807"/>
    <w:rsid w:val="7FC25A17"/>
    <w:rsid w:val="7FC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708</Characters>
  <Lines>5</Lines>
  <Paragraphs>1</Paragraphs>
  <TotalTime>9</TotalTime>
  <ScaleCrop>false</ScaleCrop>
  <LinksUpToDate>false</LinksUpToDate>
  <CharactersWithSpaces>714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2022-06-30T02:09:00Z</dcterms:created>
  <dc:creator>Mr.X</dc:creator>
  <cp:lastModifiedBy>Administrator</cp:lastModifiedBy>
  <dcterms:modified xsi:type="dcterms:W3CDTF">2025-08-31T02:38:48Z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2DEAA57F17E44F54B3B88DDE4BFD1D35_13</vt:lpwstr>
  </property>
  <property fmtid="{D5CDD505-2E9C-101B-9397-08002B2CF9AE}" pid="4" name="KSOTemplateDocerSaveRecord">
    <vt:lpwstr>eyJoZGlkIjoiZjZkN2I4NDU0ZTQ2OWYwZWMxMzFlNjJlZTY3MDVmZTYifQ==</vt:lpwstr>
  </property>
</Properties>
</file>