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7FA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山东公用集团济宁兖州热力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有限公司</w:t>
      </w:r>
    </w:p>
    <w:p w14:paraId="5C137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44"/>
          <w:szCs w:val="44"/>
          <w:lang w:val="en-US" w:eastAsia="zh-CN"/>
        </w:rPr>
        <w:t>中期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开</w:t>
      </w:r>
    </w:p>
    <w:p w14:paraId="63950D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</w:p>
    <w:p w14:paraId="403CD5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1C5543B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45E6356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山东公用集团济宁兖州热力有限公司</w:t>
      </w:r>
    </w:p>
    <w:p w14:paraId="52833F7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有限责任公司</w:t>
      </w:r>
    </w:p>
    <w:p w14:paraId="0F345AB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2017年9月29日</w:t>
      </w:r>
    </w:p>
    <w:p w14:paraId="16672D1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4.法定代表人：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张志宇</w:t>
      </w:r>
    </w:p>
    <w:p w14:paraId="46BA68A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山东省济宁市兖州区鼓楼街道文化西路9号</w:t>
      </w:r>
    </w:p>
    <w:p w14:paraId="3C039E3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6.经营范围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 xml:space="preserve">：城区集中供热；新能源研发利用；热力工程设计、咨询及施工；热力设备销售；合同能源管理；管道保温防腐。（依法须经批准的项目，经相关部门批准后方可开展经营活动） </w:t>
      </w:r>
    </w:p>
    <w:p w14:paraId="2D5FB2B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（二）公司简介</w:t>
      </w:r>
    </w:p>
    <w:p w14:paraId="6642F61D">
      <w:pPr>
        <w:keepNext w:val="0"/>
        <w:keepLines w:val="0"/>
        <w:pageBreakBefore w:val="0"/>
        <w:widowControl/>
        <w:tabs>
          <w:tab w:val="left" w:pos="666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山东公用集团济宁兖州热力有限公司成立于2017年9月29日，注册资金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4416.71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万元整。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供热面积约1707万平方米，共有热用户约15.02万户。其中民用面积约1607万平方米，商业办公、教育供热面积约100万平方米。</w:t>
      </w:r>
    </w:p>
    <w:p w14:paraId="5F6FE0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12F97CE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黑体简体" w:cs="Times New Roman"/>
          <w:b/>
          <w:bCs/>
          <w:highlight w:val="none"/>
          <w:lang w:val="en-US"/>
        </w:rPr>
      </w:pPr>
    </w:p>
    <w:p w14:paraId="23DA88C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黑体简体" w:cs="Times New Roman"/>
          <w:b/>
          <w:bCs/>
          <w:highlight w:val="none"/>
          <w:lang w:val="en-US"/>
        </w:rPr>
      </w:pPr>
    </w:p>
    <w:p w14:paraId="6FC32DE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79C6477D">
      <w:pPr>
        <w:pStyle w:val="2"/>
        <w:spacing w:line="600" w:lineRule="exact"/>
        <w:ind w:firstLine="6325" w:firstLineChars="2100"/>
        <w:jc w:val="both"/>
        <w:rPr>
          <w:rFonts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81"/>
      </w:tblGrid>
      <w:tr w14:paraId="3508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58" w:type="dxa"/>
          </w:tcPr>
          <w:p w14:paraId="4AB0136F">
            <w:pPr>
              <w:pStyle w:val="2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3981" w:type="dxa"/>
          </w:tcPr>
          <w:p w14:paraId="1B93C079">
            <w:pPr>
              <w:pStyle w:val="2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045C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58" w:type="dxa"/>
          </w:tcPr>
          <w:p w14:paraId="613BEBF4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3981" w:type="dxa"/>
          </w:tcPr>
          <w:p w14:paraId="41EBDAE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14781.52</w:t>
            </w:r>
          </w:p>
        </w:tc>
      </w:tr>
      <w:tr w14:paraId="7363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58" w:type="dxa"/>
          </w:tcPr>
          <w:p w14:paraId="34A88C7B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3981" w:type="dxa"/>
          </w:tcPr>
          <w:p w14:paraId="74C64DF8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15311.13</w:t>
            </w:r>
          </w:p>
        </w:tc>
      </w:tr>
      <w:tr w14:paraId="27EA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58" w:type="dxa"/>
          </w:tcPr>
          <w:p w14:paraId="3C3039DB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3981" w:type="dxa"/>
          </w:tcPr>
          <w:p w14:paraId="59B62129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2486.08</w:t>
            </w:r>
          </w:p>
        </w:tc>
      </w:tr>
      <w:tr w14:paraId="5A94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58" w:type="dxa"/>
          </w:tcPr>
          <w:p w14:paraId="36D1A973">
            <w:pPr>
              <w:pStyle w:val="2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3981" w:type="dxa"/>
          </w:tcPr>
          <w:p w14:paraId="6ED43CDC">
            <w:pPr>
              <w:pStyle w:val="2"/>
              <w:spacing w:line="60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1864.56</w:t>
            </w:r>
          </w:p>
        </w:tc>
      </w:tr>
      <w:tr w14:paraId="40DD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58" w:type="dxa"/>
          </w:tcPr>
          <w:p w14:paraId="55E0F136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3981" w:type="dxa"/>
          </w:tcPr>
          <w:p w14:paraId="25E1B49A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143263.84</w:t>
            </w:r>
          </w:p>
        </w:tc>
      </w:tr>
      <w:tr w14:paraId="1672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58" w:type="dxa"/>
          </w:tcPr>
          <w:p w14:paraId="78EB46B3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3981" w:type="dxa"/>
          </w:tcPr>
          <w:p w14:paraId="56E8A31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116444.23</w:t>
            </w:r>
          </w:p>
        </w:tc>
      </w:tr>
      <w:tr w14:paraId="37B2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8" w:type="dxa"/>
          </w:tcPr>
          <w:p w14:paraId="39FE85EA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3981" w:type="dxa"/>
          </w:tcPr>
          <w:p w14:paraId="5EE58F2D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26819.61</w:t>
            </w:r>
          </w:p>
        </w:tc>
      </w:tr>
      <w:bookmarkEnd w:id="0"/>
    </w:tbl>
    <w:p w14:paraId="28B4AAEB">
      <w:pPr>
        <w:spacing w:line="200" w:lineRule="exact"/>
        <w:ind w:left="641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</w:p>
    <w:p w14:paraId="69F7937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 xml:space="preserve">   </w:t>
      </w:r>
    </w:p>
    <w:p w14:paraId="4EF4A04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预算营业总收入25206万元，实际完成率58.64%；预算利润总额2913万元，实际完成率85.34%。</w:t>
      </w:r>
    </w:p>
    <w:p w14:paraId="75B3D37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内重大事项及对企业的影响</w:t>
      </w:r>
    </w:p>
    <w:p w14:paraId="7C91518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无。</w:t>
      </w:r>
    </w:p>
    <w:p w14:paraId="549A40CB">
      <w:pPr>
        <w:spacing w:line="58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  <w:lang w:val="en-US"/>
        </w:rPr>
      </w:pPr>
    </w:p>
    <w:p w14:paraId="4E9D0C16">
      <w:pPr>
        <w:spacing w:line="58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  <w:highlight w:val="yellow"/>
          <w:lang w:val="en-US"/>
        </w:rPr>
      </w:pPr>
    </w:p>
    <w:p w14:paraId="6230A128">
      <w:pPr>
        <w:rPr>
          <w:highlight w:val="yellow"/>
          <w:lang w:val="en-US"/>
        </w:rPr>
      </w:pPr>
    </w:p>
    <w:p w14:paraId="7671B81C">
      <w:pPr>
        <w:ind w:firstLine="4498" w:firstLineChars="1400"/>
        <w:jc w:val="both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11D4CC0A">
      <w:pPr>
        <w:widowControl/>
        <w:autoSpaceDE/>
        <w:autoSpaceDN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EEFA328-A14C-4880-9AB0-9CAB1628617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9D2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BDB6F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BDB6F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M2I3ZTNhYmI3ZWYxZjQzZmFlZGYzMThmZmUwZGQ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1A5F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10F4D6D"/>
    <w:rsid w:val="013C06BC"/>
    <w:rsid w:val="0192652E"/>
    <w:rsid w:val="01EA636A"/>
    <w:rsid w:val="04610B65"/>
    <w:rsid w:val="06846D8D"/>
    <w:rsid w:val="0A40121D"/>
    <w:rsid w:val="0ACE6829"/>
    <w:rsid w:val="0B892750"/>
    <w:rsid w:val="0BBD49ED"/>
    <w:rsid w:val="0C1300BA"/>
    <w:rsid w:val="0C8A677F"/>
    <w:rsid w:val="11D529E3"/>
    <w:rsid w:val="13F866C4"/>
    <w:rsid w:val="17303DFB"/>
    <w:rsid w:val="17397720"/>
    <w:rsid w:val="1A1324AA"/>
    <w:rsid w:val="1EAE09F3"/>
    <w:rsid w:val="1F797AB2"/>
    <w:rsid w:val="208262A6"/>
    <w:rsid w:val="220A4192"/>
    <w:rsid w:val="22E36792"/>
    <w:rsid w:val="237C2E6E"/>
    <w:rsid w:val="2483022C"/>
    <w:rsid w:val="27F76F67"/>
    <w:rsid w:val="2856791E"/>
    <w:rsid w:val="29183639"/>
    <w:rsid w:val="29930F11"/>
    <w:rsid w:val="29E11C7D"/>
    <w:rsid w:val="29FA2D3E"/>
    <w:rsid w:val="2A107535"/>
    <w:rsid w:val="2B3D41BE"/>
    <w:rsid w:val="2C1B6F9C"/>
    <w:rsid w:val="2C3A38C6"/>
    <w:rsid w:val="2CC713D9"/>
    <w:rsid w:val="2CEA52EC"/>
    <w:rsid w:val="2E9539DE"/>
    <w:rsid w:val="30670A02"/>
    <w:rsid w:val="32DA0AFB"/>
    <w:rsid w:val="342A06C4"/>
    <w:rsid w:val="359C4116"/>
    <w:rsid w:val="365668DF"/>
    <w:rsid w:val="396E538B"/>
    <w:rsid w:val="3ADE08F5"/>
    <w:rsid w:val="3DE03BA2"/>
    <w:rsid w:val="3EB218E1"/>
    <w:rsid w:val="3EC86B10"/>
    <w:rsid w:val="40640ABA"/>
    <w:rsid w:val="40BD03D8"/>
    <w:rsid w:val="465F68AD"/>
    <w:rsid w:val="46625A9C"/>
    <w:rsid w:val="47C6205A"/>
    <w:rsid w:val="487B4BF3"/>
    <w:rsid w:val="489F2FD7"/>
    <w:rsid w:val="49811F89"/>
    <w:rsid w:val="4C6205A3"/>
    <w:rsid w:val="4CAB3057"/>
    <w:rsid w:val="4D663EEA"/>
    <w:rsid w:val="4E3B5550"/>
    <w:rsid w:val="4ED60DD5"/>
    <w:rsid w:val="4FAD422B"/>
    <w:rsid w:val="4FC82E13"/>
    <w:rsid w:val="51234079"/>
    <w:rsid w:val="515661FD"/>
    <w:rsid w:val="58117322"/>
    <w:rsid w:val="59853B23"/>
    <w:rsid w:val="5A4C6CD9"/>
    <w:rsid w:val="5C4E644E"/>
    <w:rsid w:val="5D195C77"/>
    <w:rsid w:val="5E5E5DDC"/>
    <w:rsid w:val="627604AD"/>
    <w:rsid w:val="62FB4E56"/>
    <w:rsid w:val="64C87AEA"/>
    <w:rsid w:val="65901886"/>
    <w:rsid w:val="67C52FC9"/>
    <w:rsid w:val="68F20AA9"/>
    <w:rsid w:val="6A2E78BF"/>
    <w:rsid w:val="6C3118E9"/>
    <w:rsid w:val="6C450EF0"/>
    <w:rsid w:val="6D316FBD"/>
    <w:rsid w:val="6E414065"/>
    <w:rsid w:val="6F4A2487"/>
    <w:rsid w:val="6F631DB9"/>
    <w:rsid w:val="71D945B4"/>
    <w:rsid w:val="723E1C1F"/>
    <w:rsid w:val="73A033E2"/>
    <w:rsid w:val="73FE1D6C"/>
    <w:rsid w:val="76323B4E"/>
    <w:rsid w:val="7B06566B"/>
    <w:rsid w:val="7B4A207F"/>
    <w:rsid w:val="7D034BDB"/>
    <w:rsid w:val="7D9A5540"/>
    <w:rsid w:val="7DA97531"/>
    <w:rsid w:val="7DFA5FD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546</Characters>
  <Lines>11</Lines>
  <Paragraphs>3</Paragraphs>
  <TotalTime>1</TotalTime>
  <ScaleCrop>false</ScaleCrop>
  <LinksUpToDate>false</LinksUpToDate>
  <CharactersWithSpaces>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2025-08-31T03:12:58Z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FDA81F145C5D46D09A03BD98FC372389_13</vt:lpwstr>
  </property>
  <property fmtid="{D5CDD505-2E9C-101B-9397-08002B2CF9AE}" pid="4" name="KSOTemplateDocerSaveRecord">
    <vt:lpwstr>eyJoZGlkIjoiZjZkN2I4NDU0ZTQ2OWYwZWMxMzFlNjJlZTY3MDVmZTYifQ==</vt:lpwstr>
  </property>
</Properties>
</file>