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43A8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山东鹏程路桥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集团有限公司</w:t>
      </w:r>
    </w:p>
    <w:p w14:paraId="4197693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中期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财务等重大信息公开</w:t>
      </w:r>
    </w:p>
    <w:p w14:paraId="7B2D5BF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</w:p>
    <w:p w14:paraId="03576993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lang w:val="en-US" w:eastAsia="zh-CN"/>
        </w:rPr>
        <w:t>公司基本情况</w:t>
      </w:r>
    </w:p>
    <w:p w14:paraId="0350704C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lang w:val="en-US" w:eastAsia="zh-CN"/>
        </w:rPr>
        <w:t>企业简介</w:t>
      </w:r>
    </w:p>
    <w:p w14:paraId="285A39E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 xml:space="preserve">   山东鹏程路桥集团有限公司成立于2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005年3月，坐落于孔孟之乡、运河之都——山东省济宁市,是一家以高等级公路、市政工程、桥梁工程及公路安全设施等为主业的综合性施工企业集团。</w:t>
      </w:r>
    </w:p>
    <w:p w14:paraId="5EBF536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公司</w:t>
      </w: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具有国家公路工程施工总承包一级、公路路面工程专业承包一级、公路桥梁工程专业承包二级、市政公用工程施工总承包二级资质，试验室综合乙级资质，是山东省内为数不多的资质齐全且等级较高的公路、桥梁、市政基础设施综合性施工企业；公司先后通过了ISO9001质量管理、ISO14001环境管理、OHSAS18001职业健康安全管理三位一体体系认证，以及交通运输建筑施工企业安全生产标准化一级达标，为中国公路建设行业协会理事单位。</w:t>
      </w:r>
    </w:p>
    <w:p w14:paraId="60278FAD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lang w:val="en-US" w:eastAsia="zh-CN"/>
        </w:rPr>
        <w:t>企业基本信息</w:t>
      </w:r>
    </w:p>
    <w:p w14:paraId="73F3391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企业名称:山东鹏程路桥集团有限公司</w:t>
      </w:r>
    </w:p>
    <w:p w14:paraId="09F348D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注册地址:山东省济宁市嘉祥县建设北路61号</w:t>
      </w:r>
    </w:p>
    <w:p w14:paraId="4DF6BC7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登记机关: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嘉祥县行政审批服务局</w:t>
      </w:r>
    </w:p>
    <w:p w14:paraId="0EA8550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经营范围: 企业的经营范围为:许可项目：建设工程施工；建设工程设计；建设工程质量检测；公路管理与养护；路基路面养护作业。（依法须经批准的项目，经相关部门批准后方可开展经营活动，具体经营项目以相关部门批准文件或许可证件为准）一般项目：公路水运工程试验检测服务；园林绿化工程施工；机械设备租赁；建筑材料销售；水泥制品销售；市政设施管理；停车场服务；交通安全、管制专用设备制造；安全系统监控服务；交通及公共管理用标牌销售；金属材料销售；金属矿石销售；金属制品销售；金属结构销售；煤炭及制品销售；再生资源销售；电线、电缆经营。（除依法须经批准的项目外，凭营业执照依法自主开展经营活动）企业类型：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其他</w:t>
      </w: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有限责任公司</w:t>
      </w:r>
    </w:p>
    <w:p w14:paraId="28332B1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成立日期: 20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05</w:t>
      </w: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28</w:t>
      </w: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日</w:t>
      </w:r>
    </w:p>
    <w:p w14:paraId="24E339A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lang w:val="en-US"/>
        </w:rPr>
      </w:pPr>
      <w:r>
        <w:rPr>
          <w:rFonts w:hint="default" w:ascii="Times New Roman" w:hAnsi="Times New Roman" w:eastAsia="方正黑体简体" w:cs="Times New Roman"/>
          <w:b/>
          <w:bCs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/>
          <w:bCs/>
          <w:lang w:val="en-US"/>
        </w:rPr>
        <w:t>主要会计数据和财务指标</w:t>
      </w:r>
    </w:p>
    <w:p w14:paraId="62C091A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/>
          <w:bCs/>
          <w:color w:val="auto"/>
          <w:lang w:val="en-US" w:eastAsia="zh-CN"/>
        </w:rPr>
        <w:t>5</w:t>
      </w:r>
      <w:r>
        <w:rPr>
          <w:rFonts w:hint="default" w:ascii="Times New Roman" w:hAnsi="Times New Roman" w:eastAsia="方正黑体简体" w:cs="Times New Roman"/>
          <w:b/>
          <w:bCs/>
          <w:color w:val="auto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/>
          <w:bCs/>
          <w:color w:val="auto"/>
          <w:lang w:val="en-US" w:eastAsia="zh-CN"/>
        </w:rPr>
        <w:t>中期</w:t>
      </w:r>
      <w:r>
        <w:rPr>
          <w:rFonts w:hint="default" w:ascii="Times New Roman" w:hAnsi="Times New Roman" w:eastAsia="方正黑体简体" w:cs="Times New Roman"/>
          <w:b/>
          <w:bCs/>
          <w:color w:val="auto"/>
          <w:lang w:val="en-US" w:eastAsia="zh-CN"/>
        </w:rPr>
        <w:t>主要财务数据</w:t>
      </w:r>
    </w:p>
    <w:p w14:paraId="20C22974">
      <w:pPr>
        <w:pStyle w:val="3"/>
        <w:widowControl w:val="0"/>
        <w:numPr>
          <w:ilvl w:val="0"/>
          <w:numId w:val="0"/>
        </w:numPr>
        <w:autoSpaceDE w:val="0"/>
        <w:autoSpaceDN w:val="0"/>
        <w:spacing w:line="600" w:lineRule="exact"/>
        <w:ind w:firstLine="5722" w:firstLineChars="1900"/>
        <w:jc w:val="both"/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0"/>
          <w:szCs w:val="30"/>
          <w:lang w:val="en-US" w:eastAsia="zh-CN"/>
        </w:rPr>
        <w:t>单位：人民币万元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3054"/>
        <w:gridCol w:w="3001"/>
      </w:tblGrid>
      <w:tr w14:paraId="09F48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67" w:type="dxa"/>
            <w:vAlign w:val="center"/>
          </w:tcPr>
          <w:p w14:paraId="06669419">
            <w:pPr>
              <w:pStyle w:val="3"/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项  目</w:t>
            </w:r>
          </w:p>
        </w:tc>
        <w:tc>
          <w:tcPr>
            <w:tcW w:w="3054" w:type="dxa"/>
            <w:vAlign w:val="center"/>
          </w:tcPr>
          <w:p w14:paraId="41A4275A">
            <w:pPr>
              <w:pStyle w:val="3"/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本期金额</w:t>
            </w:r>
          </w:p>
        </w:tc>
        <w:tc>
          <w:tcPr>
            <w:tcW w:w="3001" w:type="dxa"/>
            <w:vAlign w:val="center"/>
          </w:tcPr>
          <w:p w14:paraId="00D716D0">
            <w:pPr>
              <w:pStyle w:val="3"/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上期金额</w:t>
            </w:r>
          </w:p>
        </w:tc>
      </w:tr>
      <w:tr w14:paraId="3586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67" w:type="dxa"/>
            <w:vAlign w:val="center"/>
          </w:tcPr>
          <w:p w14:paraId="730EEE94">
            <w:pPr>
              <w:pStyle w:val="3"/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营业总收入</w:t>
            </w:r>
          </w:p>
        </w:tc>
        <w:tc>
          <w:tcPr>
            <w:tcW w:w="3054" w:type="dxa"/>
            <w:vAlign w:val="center"/>
          </w:tcPr>
          <w:p w14:paraId="680409FD">
            <w:pPr>
              <w:pStyle w:val="3"/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sz w:val="32"/>
                <w:szCs w:val="32"/>
                <w:lang w:val="en-US" w:eastAsia="zh-CN"/>
              </w:rPr>
              <w:t>156,008.00</w:t>
            </w:r>
          </w:p>
        </w:tc>
        <w:tc>
          <w:tcPr>
            <w:tcW w:w="3001" w:type="dxa"/>
            <w:vAlign w:val="center"/>
          </w:tcPr>
          <w:p w14:paraId="13DEDF9A">
            <w:pPr>
              <w:pStyle w:val="3"/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32"/>
                <w:szCs w:val="32"/>
                <w:lang w:val="en-US" w:eastAsia="zh-CN"/>
              </w:rPr>
              <w:t>252,306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sz w:val="32"/>
                <w:szCs w:val="32"/>
                <w:lang w:val="en-US" w:eastAsia="zh-CN"/>
              </w:rPr>
              <w:t>.00</w:t>
            </w:r>
          </w:p>
        </w:tc>
      </w:tr>
      <w:tr w14:paraId="05A23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67" w:type="dxa"/>
            <w:vAlign w:val="center"/>
          </w:tcPr>
          <w:p w14:paraId="69BAB696">
            <w:pPr>
              <w:pStyle w:val="3"/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营业总成本</w:t>
            </w:r>
          </w:p>
        </w:tc>
        <w:tc>
          <w:tcPr>
            <w:tcW w:w="3054" w:type="dxa"/>
            <w:vAlign w:val="center"/>
          </w:tcPr>
          <w:p w14:paraId="59F5F907">
            <w:pPr>
              <w:pStyle w:val="3"/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 w:bidi="ar-SA"/>
              </w:rPr>
              <w:t>144,702.00</w:t>
            </w:r>
          </w:p>
        </w:tc>
        <w:tc>
          <w:tcPr>
            <w:tcW w:w="3001" w:type="dxa"/>
            <w:vAlign w:val="center"/>
          </w:tcPr>
          <w:p w14:paraId="209CAAD1">
            <w:pPr>
              <w:pStyle w:val="3"/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 w:bidi="ar-SA"/>
              </w:rPr>
              <w:t>242,676.00</w:t>
            </w:r>
          </w:p>
        </w:tc>
      </w:tr>
      <w:tr w14:paraId="7820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467" w:type="dxa"/>
            <w:vAlign w:val="center"/>
          </w:tcPr>
          <w:p w14:paraId="66D234D9">
            <w:pPr>
              <w:pStyle w:val="3"/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利润总额</w:t>
            </w:r>
          </w:p>
        </w:tc>
        <w:tc>
          <w:tcPr>
            <w:tcW w:w="3054" w:type="dxa"/>
            <w:vAlign w:val="center"/>
          </w:tcPr>
          <w:p w14:paraId="3C5597F8">
            <w:pPr>
              <w:pStyle w:val="3"/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sz w:val="32"/>
                <w:szCs w:val="32"/>
                <w:lang w:val="en-US" w:eastAsia="zh-CN"/>
              </w:rPr>
              <w:t>11,306.00</w:t>
            </w:r>
          </w:p>
        </w:tc>
        <w:tc>
          <w:tcPr>
            <w:tcW w:w="3001" w:type="dxa"/>
            <w:vAlign w:val="center"/>
          </w:tcPr>
          <w:p w14:paraId="4B0AF6FB">
            <w:pPr>
              <w:pStyle w:val="3"/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sz w:val="32"/>
                <w:szCs w:val="32"/>
                <w:lang w:val="en-US" w:eastAsia="zh-CN"/>
              </w:rPr>
              <w:t>9,605.00</w:t>
            </w:r>
          </w:p>
        </w:tc>
      </w:tr>
      <w:tr w14:paraId="34ECD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467" w:type="dxa"/>
            <w:vAlign w:val="center"/>
          </w:tcPr>
          <w:p w14:paraId="3954889A">
            <w:pPr>
              <w:pStyle w:val="3"/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bidi="ar-SA"/>
              </w:rPr>
              <w:t>项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bidi="ar-SA"/>
              </w:rPr>
              <w:t>目</w:t>
            </w:r>
          </w:p>
        </w:tc>
        <w:tc>
          <w:tcPr>
            <w:tcW w:w="3054" w:type="dxa"/>
            <w:vAlign w:val="center"/>
          </w:tcPr>
          <w:p w14:paraId="23492C15">
            <w:pPr>
              <w:pStyle w:val="3"/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bidi="ar-SA"/>
              </w:rPr>
              <w:t>期末余额</w:t>
            </w:r>
          </w:p>
        </w:tc>
        <w:tc>
          <w:tcPr>
            <w:tcW w:w="3001" w:type="dxa"/>
            <w:vAlign w:val="center"/>
          </w:tcPr>
          <w:p w14:paraId="05944A8C">
            <w:pPr>
              <w:pStyle w:val="3"/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bidi="ar-SA"/>
              </w:rPr>
              <w:t>期初余额</w:t>
            </w:r>
          </w:p>
        </w:tc>
      </w:tr>
      <w:tr w14:paraId="52BFC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67" w:type="dxa"/>
            <w:vAlign w:val="center"/>
          </w:tcPr>
          <w:p w14:paraId="2897C41F">
            <w:pPr>
              <w:pStyle w:val="3"/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bidi="ar-SA"/>
              </w:rPr>
              <w:t>资产总额</w:t>
            </w:r>
          </w:p>
        </w:tc>
        <w:tc>
          <w:tcPr>
            <w:tcW w:w="3054" w:type="dxa"/>
            <w:vAlign w:val="center"/>
          </w:tcPr>
          <w:p w14:paraId="63F7415C">
            <w:pPr>
              <w:pStyle w:val="3"/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 w:bidi="ar-SA"/>
              </w:rPr>
              <w:t>423,408.00</w:t>
            </w:r>
          </w:p>
        </w:tc>
        <w:tc>
          <w:tcPr>
            <w:tcW w:w="3001" w:type="dxa"/>
            <w:vAlign w:val="center"/>
          </w:tcPr>
          <w:p w14:paraId="754BE5C6">
            <w:pPr>
              <w:pStyle w:val="3"/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 w:bidi="ar-SA"/>
              </w:rPr>
              <w:t>317,401.00</w:t>
            </w:r>
          </w:p>
        </w:tc>
      </w:tr>
      <w:tr w14:paraId="3350A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467" w:type="dxa"/>
            <w:vAlign w:val="center"/>
          </w:tcPr>
          <w:p w14:paraId="0332E9F7">
            <w:pPr>
              <w:pStyle w:val="3"/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bidi="ar-SA"/>
              </w:rPr>
              <w:t>负债总额</w:t>
            </w:r>
          </w:p>
        </w:tc>
        <w:tc>
          <w:tcPr>
            <w:tcW w:w="3054" w:type="dxa"/>
            <w:vAlign w:val="center"/>
          </w:tcPr>
          <w:p w14:paraId="402A728D">
            <w:pPr>
              <w:pStyle w:val="3"/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 w:bidi="ar-SA"/>
              </w:rPr>
              <w:t>387,059.00</w:t>
            </w:r>
          </w:p>
        </w:tc>
        <w:tc>
          <w:tcPr>
            <w:tcW w:w="3001" w:type="dxa"/>
            <w:vAlign w:val="center"/>
          </w:tcPr>
          <w:p w14:paraId="42528C23">
            <w:pPr>
              <w:pStyle w:val="3"/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 w:bidi="ar-SA"/>
              </w:rPr>
              <w:t>284,960.00</w:t>
            </w:r>
          </w:p>
        </w:tc>
      </w:tr>
      <w:tr w14:paraId="4DF49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67" w:type="dxa"/>
            <w:vAlign w:val="center"/>
          </w:tcPr>
          <w:p w14:paraId="2ED12D6C">
            <w:pPr>
              <w:pStyle w:val="3"/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bidi="ar-SA"/>
              </w:rPr>
              <w:t>所有者权益</w:t>
            </w:r>
          </w:p>
        </w:tc>
        <w:tc>
          <w:tcPr>
            <w:tcW w:w="3054" w:type="dxa"/>
            <w:vAlign w:val="center"/>
          </w:tcPr>
          <w:p w14:paraId="52193079">
            <w:pPr>
              <w:pStyle w:val="3"/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 w:bidi="ar-SA"/>
              </w:rPr>
              <w:t>36,349.00</w:t>
            </w:r>
          </w:p>
        </w:tc>
        <w:tc>
          <w:tcPr>
            <w:tcW w:w="3001" w:type="dxa"/>
            <w:vAlign w:val="center"/>
          </w:tcPr>
          <w:p w14:paraId="2BB2F6C7">
            <w:pPr>
              <w:pStyle w:val="3"/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6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 w:bidi="ar-SA"/>
              </w:rPr>
              <w:t>32,441.00</w:t>
            </w:r>
          </w:p>
        </w:tc>
      </w:tr>
    </w:tbl>
    <w:p w14:paraId="6D033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  <w:t>财务预算执行情况</w:t>
      </w:r>
    </w:p>
    <w:p w14:paraId="48121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5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中期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累计实现营业收入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156,008.00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万元，完成全年预算306,543万元的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50.89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%；成本费用总额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 w:bidi="ar-SA"/>
        </w:rPr>
        <w:t>144,702.00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万元，完成全年预算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294,342.70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万元的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49.16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%；累计实现利润总额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11,306.00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万元，完成全年预算12,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00.30万元的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92.67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% 。</w:t>
      </w:r>
    </w:p>
    <w:p w14:paraId="665EE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5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 w:bidi="zh-CN"/>
        </w:rPr>
        <w:t>四、年度中期内发生的重大事项及对企业的影响</w:t>
      </w:r>
    </w:p>
    <w:p w14:paraId="3DFCC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无。</w:t>
      </w: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975D72"/>
    <w:multiLevelType w:val="singleLevel"/>
    <w:tmpl w:val="CB975D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9066F3"/>
    <w:multiLevelType w:val="singleLevel"/>
    <w:tmpl w:val="4A9066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NTVkZTQ3NjU1OGM5MGE1MzI4YzBmNTNmNTkwZTgifQ=="/>
    <w:docVar w:name="KSO_WPS_MARK_KEY" w:val="2bcd10c2-d530-4912-911c-8800ebd80bd2"/>
  </w:docVars>
  <w:rsids>
    <w:rsidRoot w:val="00000000"/>
    <w:rsid w:val="087D7BD3"/>
    <w:rsid w:val="08A87C61"/>
    <w:rsid w:val="0B7C47BE"/>
    <w:rsid w:val="106357E3"/>
    <w:rsid w:val="15F66C34"/>
    <w:rsid w:val="1B82217E"/>
    <w:rsid w:val="24B61D5E"/>
    <w:rsid w:val="26BF4676"/>
    <w:rsid w:val="283915F3"/>
    <w:rsid w:val="2DE531DA"/>
    <w:rsid w:val="375A76DE"/>
    <w:rsid w:val="37B41185"/>
    <w:rsid w:val="3DE47B36"/>
    <w:rsid w:val="43CC4F53"/>
    <w:rsid w:val="44AC140E"/>
    <w:rsid w:val="45A667E6"/>
    <w:rsid w:val="4AD66A58"/>
    <w:rsid w:val="4BDA60D4"/>
    <w:rsid w:val="52662470"/>
    <w:rsid w:val="54864DB0"/>
    <w:rsid w:val="57203535"/>
    <w:rsid w:val="5EFA4F25"/>
    <w:rsid w:val="613C2683"/>
    <w:rsid w:val="64487C27"/>
    <w:rsid w:val="64C54D31"/>
    <w:rsid w:val="66002EC5"/>
    <w:rsid w:val="6A8B43D9"/>
    <w:rsid w:val="71F6731E"/>
    <w:rsid w:val="747F1A52"/>
    <w:rsid w:val="7576592B"/>
    <w:rsid w:val="76A41635"/>
    <w:rsid w:val="7BA71EDC"/>
    <w:rsid w:val="7BCC0653"/>
    <w:rsid w:val="7CEA6D58"/>
    <w:rsid w:val="7EBE6D46"/>
    <w:rsid w:val="7F36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Lines/>
      <w:pageBreakBefore/>
      <w:spacing w:before="240" w:after="120"/>
      <w:jc w:val="center"/>
      <w:outlineLvl w:val="0"/>
    </w:pPr>
    <w:rPr>
      <w:rFonts w:eastAsia="黑体"/>
      <w:b/>
      <w:sz w:val="36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869</Words>
  <Characters>1076</Characters>
  <Lines>0</Lines>
  <Paragraphs>0</Paragraphs>
  <TotalTime>33</TotalTime>
  <ScaleCrop>false</ScaleCrop>
  <LinksUpToDate>false</LinksUpToDate>
  <CharactersWithSpaces>1086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2024-04-22T06:55:00Z</dcterms:created>
  <dc:creator>Administrator</dc:creator>
  <cp:lastModifiedBy>Administrator</cp:lastModifiedBy>
  <dcterms:modified xsi:type="dcterms:W3CDTF">2025-08-31T07:56:42Z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4444B70EADEB4752B318BA2B6543C9DF_13</vt:lpwstr>
  </property>
  <property fmtid="{D5CDD505-2E9C-101B-9397-08002B2CF9AE}" pid="4" name="KSOTemplateDocerSaveRecord">
    <vt:lpwstr>eyJoZGlkIjoiZjZkN2I4NDU0ZTQ2OWYwZWMxMzFlNjJlZTY3MDVmZTYifQ==</vt:lpwstr>
  </property>
</Properties>
</file>