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FA91B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山东公用建设集团有限公司</w:t>
      </w:r>
    </w:p>
    <w:p w14:paraId="5CBCA07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2026年一季度</w:t>
      </w:r>
      <w:r>
        <w:rPr>
          <w:rFonts w:hint="eastAsia" w:ascii="方正小标宋简体" w:eastAsia="方正小标宋简体"/>
          <w:sz w:val="44"/>
          <w:szCs w:val="44"/>
        </w:rPr>
        <w:t>财务等重大信息公开内容</w:t>
      </w:r>
    </w:p>
    <w:p w14:paraId="4B64CC5F">
      <w:pPr>
        <w:spacing w:line="240" w:lineRule="exact"/>
      </w:pPr>
    </w:p>
    <w:p w14:paraId="75013BDD"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ascii="方正黑体简体" w:eastAsia="方正黑体简体"/>
        </w:rPr>
        <w:t>一、</w:t>
      </w:r>
      <w:r>
        <w:rPr>
          <w:rFonts w:hint="eastAsia" w:ascii="方正黑体简体" w:hAnsi="方正仿宋简体" w:eastAsia="方正黑体简体" w:cs="方正仿宋简体"/>
          <w:szCs w:val="32"/>
        </w:rPr>
        <w:t>企业基本情况</w:t>
      </w:r>
    </w:p>
    <w:p w14:paraId="4B6287F1">
      <w:pPr>
        <w:spacing w:line="600" w:lineRule="exact"/>
        <w:ind w:firstLine="643" w:firstLineChars="200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Cs w:val="32"/>
        </w:rPr>
        <w:t>企业</w:t>
      </w:r>
      <w:r>
        <w:rPr>
          <w:rFonts w:ascii="方正仿宋简体" w:hAnsi="方正仿宋简体" w:eastAsia="方正仿宋简体" w:cs="方正仿宋简体"/>
          <w:b/>
          <w:szCs w:val="32"/>
        </w:rPr>
        <w:t>名称：</w:t>
      </w:r>
      <w:r>
        <w:rPr>
          <w:rFonts w:hint="eastAsia" w:ascii="方正仿宋简体" w:hAnsi="方正仿宋简体" w:eastAsia="方正仿宋简体" w:cs="方正仿宋简体"/>
          <w:szCs w:val="32"/>
        </w:rPr>
        <w:t>山东公用</w:t>
      </w:r>
      <w:r>
        <w:rPr>
          <w:rFonts w:ascii="方正仿宋简体" w:hAnsi="方正仿宋简体" w:eastAsia="方正仿宋简体" w:cs="方正仿宋简体"/>
          <w:szCs w:val="32"/>
        </w:rPr>
        <w:t>建设集团有限公司</w:t>
      </w:r>
    </w:p>
    <w:p w14:paraId="1E060FBB">
      <w:pPr>
        <w:spacing w:line="600" w:lineRule="exact"/>
        <w:ind w:firstLine="643" w:firstLineChars="200"/>
        <w:rPr>
          <w:rFonts w:eastAsia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Cs w:val="32"/>
        </w:rPr>
        <w:t>注册地址：</w:t>
      </w:r>
      <w:r>
        <w:rPr>
          <w:rFonts w:hint="eastAsia" w:eastAsia="方正仿宋简体"/>
          <w:szCs w:val="32"/>
          <w:lang w:val="en-US" w:eastAsia="zh-CN"/>
        </w:rPr>
        <w:t>山东省济</w:t>
      </w:r>
      <w:r>
        <w:rPr>
          <w:rFonts w:eastAsia="方正仿宋简体"/>
          <w:szCs w:val="32"/>
        </w:rPr>
        <w:t>宁市</w:t>
      </w:r>
      <w:r>
        <w:rPr>
          <w:rFonts w:hint="eastAsia" w:eastAsia="方正仿宋简体"/>
          <w:szCs w:val="32"/>
          <w:lang w:val="en-US" w:eastAsia="zh-CN"/>
        </w:rPr>
        <w:t>任城区</w:t>
      </w:r>
      <w:r>
        <w:rPr>
          <w:rFonts w:eastAsia="方正仿宋简体"/>
          <w:szCs w:val="32"/>
        </w:rPr>
        <w:t>常青路31号</w:t>
      </w:r>
    </w:p>
    <w:p w14:paraId="699630FA">
      <w:pPr>
        <w:spacing w:line="600" w:lineRule="exact"/>
        <w:ind w:firstLine="643" w:firstLineChars="200"/>
        <w:rPr>
          <w:rFonts w:eastAsia="方正仿宋简体"/>
          <w:szCs w:val="32"/>
        </w:rPr>
      </w:pPr>
      <w:r>
        <w:rPr>
          <w:rFonts w:eastAsia="方正仿宋简体"/>
          <w:b/>
          <w:szCs w:val="32"/>
        </w:rPr>
        <w:t>登记机关：</w:t>
      </w:r>
      <w:r>
        <w:rPr>
          <w:rFonts w:eastAsia="方正仿宋简体"/>
          <w:szCs w:val="32"/>
        </w:rPr>
        <w:t>济宁市行政审批服务局</w:t>
      </w:r>
    </w:p>
    <w:p w14:paraId="41E1E1ED">
      <w:pPr>
        <w:spacing w:line="600" w:lineRule="exact"/>
        <w:ind w:firstLine="643" w:firstLineChars="200"/>
        <w:rPr>
          <w:rFonts w:eastAsia="方正仿宋简体"/>
          <w:szCs w:val="32"/>
        </w:rPr>
      </w:pPr>
      <w:r>
        <w:rPr>
          <w:rFonts w:eastAsia="方正仿宋简体"/>
          <w:b/>
          <w:szCs w:val="32"/>
        </w:rPr>
        <w:t>经营范围：</w:t>
      </w:r>
      <w:r>
        <w:rPr>
          <w:rFonts w:hint="eastAsia" w:eastAsia="方正仿宋简体"/>
          <w:szCs w:val="32"/>
        </w:rPr>
        <w:t>建设工程施工；施工专业作业；建筑劳务分包；特种设备安装改造修理；电气安装服务。（依法须经批准的项目，经相关部门批准后方可开展经营活动，具体经营项目以相关部门批准文件或许可证件为准）一般项目：工程技术服务（规划管理、勘察、设计、监理除外），工程管理服务；市政设施管理，对外承包工程；园林绿化工程施工，土石方工程施工，普通机械设备安装服务；建筑工程机械与设备租赁；机械设备租赁。（除依法须经批准的项目外，凭营业执照依法自主开展经营活动）</w:t>
      </w:r>
      <w:r>
        <w:rPr>
          <w:rFonts w:eastAsia="方正仿宋简体"/>
          <w:szCs w:val="32"/>
        </w:rPr>
        <w:t>。</w:t>
      </w:r>
    </w:p>
    <w:p w14:paraId="11A52BA6">
      <w:pPr>
        <w:spacing w:line="600" w:lineRule="exact"/>
        <w:ind w:firstLine="643" w:firstLineChars="200"/>
        <w:rPr>
          <w:rFonts w:eastAsia="方正仿宋简体"/>
          <w:szCs w:val="32"/>
        </w:rPr>
      </w:pPr>
      <w:r>
        <w:rPr>
          <w:rFonts w:eastAsia="方正仿宋简体"/>
          <w:b/>
          <w:szCs w:val="32"/>
        </w:rPr>
        <w:t>企业类型：</w:t>
      </w:r>
      <w:r>
        <w:rPr>
          <w:rFonts w:eastAsia="方正仿宋简体"/>
          <w:szCs w:val="32"/>
        </w:rPr>
        <w:t>有限责任公司</w:t>
      </w:r>
      <w:r>
        <w:rPr>
          <w:rFonts w:hint="eastAsia" w:eastAsia="方正仿宋简体"/>
          <w:szCs w:val="32"/>
        </w:rPr>
        <w:t>（</w:t>
      </w:r>
      <w:r>
        <w:rPr>
          <w:rFonts w:eastAsia="方正仿宋简体"/>
          <w:szCs w:val="32"/>
        </w:rPr>
        <w:t>非自然人投资或控股的法人独资）</w:t>
      </w:r>
    </w:p>
    <w:p w14:paraId="08883E06">
      <w:pPr>
        <w:spacing w:line="600" w:lineRule="exact"/>
        <w:ind w:firstLine="643" w:firstLineChars="200"/>
        <w:rPr>
          <w:rFonts w:eastAsia="方正仿宋简体"/>
          <w:szCs w:val="32"/>
        </w:rPr>
      </w:pPr>
      <w:r>
        <w:rPr>
          <w:rFonts w:eastAsia="方正仿宋简体"/>
          <w:b/>
          <w:szCs w:val="32"/>
        </w:rPr>
        <w:t>成立日期：</w:t>
      </w:r>
      <w:r>
        <w:rPr>
          <w:rFonts w:eastAsia="方正仿宋简体"/>
          <w:szCs w:val="32"/>
        </w:rPr>
        <w:t>2001年10月15日</w:t>
      </w:r>
    </w:p>
    <w:p w14:paraId="6DC020ED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方正黑体简体" w:hAnsi="方正仿宋简体" w:eastAsia="方正黑体简体" w:cs="方正仿宋简体"/>
          <w:szCs w:val="32"/>
        </w:rPr>
      </w:pPr>
      <w:r>
        <w:rPr>
          <w:rFonts w:hint="eastAsia" w:ascii="方正黑体简体" w:hAnsi="方正仿宋简体" w:eastAsia="方正黑体简体" w:cs="方正仿宋简体"/>
          <w:szCs w:val="32"/>
        </w:rPr>
        <w:t>主要会计数据和财务指标</w:t>
      </w:r>
    </w:p>
    <w:tbl>
      <w:tblPr>
        <w:tblStyle w:val="5"/>
        <w:tblW w:w="87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2970"/>
        <w:gridCol w:w="2721"/>
      </w:tblGrid>
      <w:tr w14:paraId="7C05CF09">
        <w:trPr>
          <w:trHeight w:val="435" w:hRule="atLeast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255E3">
            <w:pPr>
              <w:widowControl/>
              <w:spacing w:line="600" w:lineRule="exact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  <w:t>年1-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  <w:t>月份主要财务数据</w:t>
            </w:r>
          </w:p>
        </w:tc>
      </w:tr>
      <w:tr w14:paraId="73414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489EE">
            <w:pPr>
              <w:widowControl/>
              <w:spacing w:line="240" w:lineRule="auto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C141A">
            <w:pPr>
              <w:widowControl/>
              <w:spacing w:line="240" w:lineRule="auto"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BFC77">
            <w:pPr>
              <w:widowControl/>
              <w:spacing w:line="240" w:lineRule="auto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单位：人民币</w:t>
            </w: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 w14:paraId="5A15A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F6224">
            <w:pPr>
              <w:widowControl/>
              <w:spacing w:line="240" w:lineRule="auto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4D1B9">
            <w:pPr>
              <w:widowControl/>
              <w:spacing w:line="240" w:lineRule="auto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本期金额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E8D75">
            <w:pPr>
              <w:widowControl/>
              <w:spacing w:line="240" w:lineRule="auto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去年同期</w:t>
            </w:r>
          </w:p>
        </w:tc>
      </w:tr>
      <w:tr w14:paraId="313A1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FFCBA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bookmarkStart w:id="0" w:name="_GoBack" w:colFirst="0" w:colLast="2"/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营业总收入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F3020">
            <w:pPr>
              <w:widowControl/>
              <w:spacing w:line="240" w:lineRule="auto"/>
              <w:jc w:val="left"/>
              <w:rPr>
                <w:rFonts w:hint="default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  <w:t>30837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6438C">
            <w:pPr>
              <w:widowControl/>
              <w:spacing w:line="240" w:lineRule="auto"/>
              <w:jc w:val="left"/>
              <w:rPr>
                <w:rFonts w:hint="default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</w:rPr>
              <w:t>42847</w:t>
            </w:r>
          </w:p>
        </w:tc>
      </w:tr>
      <w:tr w14:paraId="2F6FA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B64CF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营业总成本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71F68">
            <w:pPr>
              <w:widowControl/>
              <w:spacing w:line="240" w:lineRule="auto"/>
              <w:jc w:val="left"/>
              <w:rPr>
                <w:rFonts w:hint="default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  <w:t>30486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CBA30">
            <w:pPr>
              <w:widowControl/>
              <w:spacing w:line="240" w:lineRule="auto"/>
              <w:jc w:val="left"/>
              <w:rPr>
                <w:rFonts w:hint="default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lang w:val="en-US" w:eastAsia="zh-CN"/>
              </w:rPr>
              <w:t>42138</w:t>
            </w:r>
          </w:p>
        </w:tc>
      </w:tr>
      <w:tr w14:paraId="79D47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F5AB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利润总额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19530">
            <w:pPr>
              <w:widowControl/>
              <w:spacing w:line="240" w:lineRule="auto"/>
              <w:jc w:val="left"/>
              <w:rPr>
                <w:rFonts w:hint="default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  <w:t>356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513C6">
            <w:pPr>
              <w:widowControl/>
              <w:spacing w:line="240" w:lineRule="auto"/>
              <w:jc w:val="left"/>
              <w:rPr>
                <w:rFonts w:hint="default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  <w:t>709</w:t>
            </w:r>
          </w:p>
        </w:tc>
      </w:tr>
      <w:tr w14:paraId="162EF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C84D6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0EAF8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本期金额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31526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年初数</w:t>
            </w:r>
          </w:p>
        </w:tc>
      </w:tr>
      <w:tr w14:paraId="612EB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26013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C7E35">
            <w:pPr>
              <w:widowControl/>
              <w:spacing w:line="240" w:lineRule="auto"/>
              <w:jc w:val="left"/>
              <w:rPr>
                <w:rFonts w:hint="default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  <w:t>920,318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2B821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</w:rPr>
              <w:t>819,448</w:t>
            </w:r>
          </w:p>
        </w:tc>
      </w:tr>
      <w:tr w14:paraId="17881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CB1C1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负债总额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C0AB5">
            <w:pPr>
              <w:widowControl/>
              <w:spacing w:line="240" w:lineRule="auto"/>
              <w:jc w:val="left"/>
              <w:rPr>
                <w:rFonts w:hint="default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805,523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3BA89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</w:rPr>
              <w:t>709,438</w:t>
            </w:r>
          </w:p>
        </w:tc>
      </w:tr>
      <w:tr w14:paraId="18FCE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9C423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所有者权益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6492E">
            <w:pPr>
              <w:widowControl/>
              <w:spacing w:line="240" w:lineRule="auto"/>
              <w:jc w:val="left"/>
              <w:rPr>
                <w:rFonts w:hint="default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  <w:lang w:val="en-US" w:eastAsia="zh-CN"/>
              </w:rPr>
              <w:t>114,795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25B14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</w:rPr>
              <w:t>110,010</w:t>
            </w:r>
          </w:p>
        </w:tc>
      </w:tr>
      <w:bookmarkEnd w:id="0"/>
    </w:tbl>
    <w:p w14:paraId="385E711F">
      <w:pPr>
        <w:spacing w:line="600" w:lineRule="exact"/>
        <w:ind w:firstLine="640" w:firstLineChars="200"/>
        <w:rPr>
          <w:rFonts w:hint="eastAsia" w:ascii="方正黑体简体" w:hAnsi="方正仿宋简体" w:eastAsia="方正黑体简体" w:cs="方正仿宋简体"/>
          <w:szCs w:val="32"/>
        </w:rPr>
      </w:pPr>
      <w:r>
        <w:rPr>
          <w:rFonts w:hint="eastAsia" w:ascii="方正黑体简体" w:hAnsi="方正仿宋简体" w:eastAsia="方正黑体简体" w:cs="方正仿宋简体"/>
          <w:szCs w:val="32"/>
        </w:rPr>
        <w:t>三、财务预算执行情况</w:t>
      </w:r>
    </w:p>
    <w:p w14:paraId="1A267EEA">
      <w:pPr>
        <w:spacing w:line="600" w:lineRule="exact"/>
        <w:ind w:firstLine="640" w:firstLineChars="200"/>
        <w:rPr>
          <w:rFonts w:eastAsia="方正仿宋简体"/>
          <w:highlight w:val="none"/>
        </w:rPr>
      </w:pPr>
      <w:r>
        <w:rPr>
          <w:rFonts w:eastAsia="方正仿宋简体"/>
          <w:highlight w:val="none"/>
        </w:rPr>
        <w:t>202</w:t>
      </w:r>
      <w:r>
        <w:rPr>
          <w:rFonts w:hint="eastAsia" w:eastAsia="方正仿宋简体"/>
          <w:highlight w:val="none"/>
          <w:lang w:val="en-US" w:eastAsia="zh-CN"/>
        </w:rPr>
        <w:t>6</w:t>
      </w:r>
      <w:r>
        <w:rPr>
          <w:rFonts w:eastAsia="方正仿宋简体"/>
          <w:highlight w:val="none"/>
        </w:rPr>
        <w:t>年1-</w:t>
      </w:r>
      <w:r>
        <w:rPr>
          <w:rFonts w:hint="eastAsia" w:eastAsia="方正仿宋简体"/>
          <w:highlight w:val="none"/>
          <w:lang w:val="en-US" w:eastAsia="zh-CN"/>
        </w:rPr>
        <w:t>3</w:t>
      </w:r>
      <w:r>
        <w:rPr>
          <w:rFonts w:eastAsia="方正仿宋简体"/>
          <w:highlight w:val="none"/>
        </w:rPr>
        <w:t>月份建设集团完成收入</w:t>
      </w:r>
      <w:r>
        <w:rPr>
          <w:rFonts w:hint="eastAsia" w:eastAsia="方正仿宋简体"/>
          <w:highlight w:val="none"/>
          <w:lang w:val="en-US" w:eastAsia="zh-CN"/>
        </w:rPr>
        <w:t>3.08</w:t>
      </w:r>
      <w:r>
        <w:rPr>
          <w:rFonts w:eastAsia="方正仿宋简体"/>
          <w:highlight w:val="none"/>
        </w:rPr>
        <w:t>亿元，完成全年预算目标的</w:t>
      </w:r>
      <w:r>
        <w:rPr>
          <w:rFonts w:hint="eastAsia" w:eastAsia="方正仿宋简体"/>
          <w:highlight w:val="none"/>
          <w:lang w:val="en-US" w:eastAsia="zh-CN"/>
        </w:rPr>
        <w:t>11.17</w:t>
      </w:r>
      <w:r>
        <w:rPr>
          <w:rFonts w:eastAsia="方正仿宋简体"/>
          <w:highlight w:val="none"/>
        </w:rPr>
        <w:t>%，（全年预算收入</w:t>
      </w:r>
      <w:r>
        <w:rPr>
          <w:rFonts w:hint="eastAsia" w:eastAsia="方正仿宋简体"/>
          <w:highlight w:val="none"/>
          <w:lang w:val="en-US" w:eastAsia="zh-CN"/>
        </w:rPr>
        <w:t>27.58</w:t>
      </w:r>
      <w:r>
        <w:rPr>
          <w:rFonts w:eastAsia="方正仿宋简体"/>
          <w:highlight w:val="none"/>
        </w:rPr>
        <w:t>亿元），上年同期完成</w:t>
      </w:r>
      <w:r>
        <w:rPr>
          <w:rFonts w:hint="eastAsia" w:eastAsia="方正仿宋简体"/>
          <w:highlight w:val="none"/>
        </w:rPr>
        <w:t>收入</w:t>
      </w:r>
      <w:r>
        <w:rPr>
          <w:rFonts w:hint="eastAsia" w:eastAsia="方正仿宋简体"/>
          <w:highlight w:val="none"/>
          <w:lang w:val="en-US" w:eastAsia="zh-CN"/>
        </w:rPr>
        <w:t>4.28</w:t>
      </w:r>
      <w:r>
        <w:rPr>
          <w:rFonts w:eastAsia="方正仿宋简体"/>
          <w:highlight w:val="none"/>
        </w:rPr>
        <w:t>亿元，同比</w:t>
      </w:r>
      <w:r>
        <w:rPr>
          <w:rFonts w:hint="eastAsia" w:eastAsia="方正仿宋简体"/>
          <w:highlight w:val="none"/>
          <w:lang w:val="en-US" w:eastAsia="zh-CN"/>
        </w:rPr>
        <w:t>减少28.04</w:t>
      </w:r>
      <w:r>
        <w:rPr>
          <w:rFonts w:eastAsia="方正仿宋简体"/>
          <w:highlight w:val="none"/>
        </w:rPr>
        <w:t>%；实现利润总额</w:t>
      </w:r>
      <w:r>
        <w:rPr>
          <w:rFonts w:hint="eastAsia" w:eastAsia="方正仿宋简体"/>
          <w:highlight w:val="none"/>
          <w:lang w:val="en-US" w:eastAsia="zh-CN"/>
        </w:rPr>
        <w:t>356</w:t>
      </w:r>
      <w:r>
        <w:rPr>
          <w:rFonts w:eastAsia="方正仿宋简体"/>
          <w:highlight w:val="none"/>
        </w:rPr>
        <w:t>万元，完成全年预算目标的</w:t>
      </w:r>
      <w:r>
        <w:rPr>
          <w:rFonts w:hint="eastAsia" w:eastAsia="方正仿宋简体"/>
          <w:highlight w:val="none"/>
          <w:lang w:val="en-US" w:eastAsia="zh-CN"/>
        </w:rPr>
        <w:t>3.72</w:t>
      </w:r>
      <w:r>
        <w:rPr>
          <w:rFonts w:eastAsia="方正仿宋简体"/>
          <w:highlight w:val="none"/>
        </w:rPr>
        <w:t>%，（全年预算利润总额</w:t>
      </w:r>
      <w:r>
        <w:rPr>
          <w:rFonts w:hint="eastAsia" w:eastAsia="方正仿宋简体"/>
          <w:highlight w:val="none"/>
          <w:lang w:val="en-US" w:eastAsia="zh-CN"/>
        </w:rPr>
        <w:t>9574</w:t>
      </w:r>
      <w:r>
        <w:rPr>
          <w:rFonts w:eastAsia="方正仿宋简体"/>
          <w:highlight w:val="none"/>
        </w:rPr>
        <w:t>万元），上年同期实现利润总额</w:t>
      </w:r>
      <w:r>
        <w:rPr>
          <w:rFonts w:hint="eastAsia" w:eastAsia="方正仿宋简体"/>
          <w:highlight w:val="none"/>
          <w:lang w:val="en-US" w:eastAsia="zh-CN"/>
        </w:rPr>
        <w:t>709</w:t>
      </w:r>
      <w:r>
        <w:rPr>
          <w:rFonts w:eastAsia="方正仿宋简体"/>
          <w:highlight w:val="none"/>
        </w:rPr>
        <w:t>万元，同比</w:t>
      </w:r>
      <w:r>
        <w:rPr>
          <w:rFonts w:hint="eastAsia" w:eastAsia="方正仿宋简体"/>
          <w:highlight w:val="none"/>
          <w:lang w:val="en-US" w:eastAsia="zh-CN"/>
        </w:rPr>
        <w:t>下降</w:t>
      </w:r>
      <w:r>
        <w:rPr>
          <w:rFonts w:eastAsia="方正仿宋简体"/>
          <w:highlight w:val="none"/>
        </w:rPr>
        <w:t>了</w:t>
      </w:r>
      <w:r>
        <w:rPr>
          <w:rFonts w:hint="eastAsia" w:eastAsia="方正仿宋简体"/>
          <w:highlight w:val="none"/>
          <w:lang w:val="en-US" w:eastAsia="zh-CN"/>
        </w:rPr>
        <w:t>49.79</w:t>
      </w:r>
      <w:r>
        <w:rPr>
          <w:rFonts w:eastAsia="方正仿宋简体"/>
          <w:highlight w:val="none"/>
        </w:rPr>
        <w:t>%；实现净利润</w:t>
      </w:r>
      <w:r>
        <w:rPr>
          <w:rFonts w:hint="eastAsia" w:eastAsia="方正仿宋简体"/>
          <w:highlight w:val="none"/>
          <w:lang w:val="en-US" w:eastAsia="zh-CN"/>
        </w:rPr>
        <w:t>267</w:t>
      </w:r>
      <w:r>
        <w:rPr>
          <w:rFonts w:eastAsia="方正仿宋简体"/>
          <w:highlight w:val="none"/>
        </w:rPr>
        <w:t>万元，完成全年预算目标的</w:t>
      </w:r>
      <w:r>
        <w:rPr>
          <w:rFonts w:hint="eastAsia" w:eastAsia="方正仿宋简体"/>
          <w:highlight w:val="none"/>
          <w:lang w:val="en-US" w:eastAsia="zh-CN"/>
        </w:rPr>
        <w:t>4.08</w:t>
      </w:r>
      <w:r>
        <w:rPr>
          <w:rFonts w:eastAsia="方正仿宋简体"/>
          <w:highlight w:val="none"/>
        </w:rPr>
        <w:t>%，（全年预算净利润</w:t>
      </w:r>
      <w:r>
        <w:rPr>
          <w:rFonts w:hint="eastAsia" w:eastAsia="方正仿宋简体"/>
          <w:highlight w:val="none"/>
          <w:lang w:val="en-US" w:eastAsia="zh-CN"/>
        </w:rPr>
        <w:t>6543</w:t>
      </w:r>
      <w:r>
        <w:rPr>
          <w:rFonts w:eastAsia="方正仿宋简体"/>
          <w:highlight w:val="none"/>
        </w:rPr>
        <w:t>万元），上年同期完成净利润</w:t>
      </w:r>
      <w:r>
        <w:rPr>
          <w:rFonts w:hint="eastAsia" w:eastAsia="方正仿宋简体"/>
          <w:highlight w:val="none"/>
          <w:lang w:val="en-US" w:eastAsia="zh-CN"/>
        </w:rPr>
        <w:t>531</w:t>
      </w:r>
      <w:r>
        <w:rPr>
          <w:rFonts w:eastAsia="方正仿宋简体"/>
          <w:highlight w:val="none"/>
        </w:rPr>
        <w:t>万元，同比</w:t>
      </w:r>
      <w:r>
        <w:rPr>
          <w:rFonts w:hint="eastAsia" w:eastAsia="方正仿宋简体"/>
          <w:highlight w:val="none"/>
          <w:lang w:val="en-US" w:eastAsia="zh-CN"/>
        </w:rPr>
        <w:t>下降</w:t>
      </w:r>
      <w:r>
        <w:rPr>
          <w:rFonts w:eastAsia="方正仿宋简体"/>
          <w:highlight w:val="none"/>
        </w:rPr>
        <w:t>了</w:t>
      </w:r>
      <w:r>
        <w:rPr>
          <w:rFonts w:hint="eastAsia" w:eastAsia="方正仿宋简体"/>
          <w:highlight w:val="none"/>
          <w:lang w:val="en-US" w:eastAsia="zh-CN"/>
        </w:rPr>
        <w:t>49.72</w:t>
      </w:r>
      <w:r>
        <w:rPr>
          <w:rFonts w:eastAsia="方正仿宋简体"/>
          <w:highlight w:val="none"/>
        </w:rPr>
        <w:t>%</w:t>
      </w:r>
      <w:r>
        <w:rPr>
          <w:rFonts w:hint="eastAsia" w:eastAsia="方正仿宋简体"/>
          <w:highlight w:val="none"/>
        </w:rPr>
        <w:t>。</w:t>
      </w:r>
    </w:p>
    <w:p w14:paraId="51DFA9E1">
      <w:pPr>
        <w:spacing w:line="600" w:lineRule="exact"/>
        <w:ind w:left="640" w:leftChars="200"/>
        <w:rPr>
          <w:rFonts w:hint="eastAsia" w:ascii="方正黑体简体" w:hAnsi="方正黑体简体" w:eastAsia="方正黑体简体" w:cs="方正黑体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14:textFill>
            <w14:solidFill>
              <w14:schemeClr w14:val="tx1"/>
            </w14:solidFill>
          </w14:textFill>
        </w:rPr>
        <w:t>三、202</w:t>
      </w:r>
      <w:r>
        <w:rPr>
          <w:rFonts w:hint="eastAsia" w:ascii="方正黑体简体" w:hAnsi="方正黑体简体" w:eastAsia="方正黑体简体" w:cs="方正黑体简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黑体简体" w:hAnsi="方正黑体简体" w:eastAsia="方正黑体简体" w:cs="方正黑体简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黑体简体" w:hAnsi="方正黑体简体" w:eastAsia="方正黑体简体" w:cs="方正黑体简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黑体简体" w:hAnsi="方正黑体简体" w:eastAsia="方正黑体简体" w:cs="方正黑体简体"/>
          <w:color w:val="000000" w:themeColor="text1"/>
          <w14:textFill>
            <w14:solidFill>
              <w14:schemeClr w14:val="tx1"/>
            </w14:solidFill>
          </w14:textFill>
        </w:rPr>
        <w:t>季度内发生的重大事项及对公司的影响</w:t>
      </w:r>
    </w:p>
    <w:p w14:paraId="6359246B">
      <w:pPr>
        <w:pStyle w:val="2"/>
        <w:rPr>
          <w:rFonts w:eastAsia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季度内公司无重大事项。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331B4D5-7FCC-4024-9A0B-94DC3F7BC410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D2DB9"/>
    <w:multiLevelType w:val="singleLevel"/>
    <w:tmpl w:val="B79D2DB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mY3NWM3YTcwMjhiNmIxNWYwMDEwNzgzZmZmNjQifQ=="/>
  </w:docVars>
  <w:rsids>
    <w:rsidRoot w:val="000335DA"/>
    <w:rsid w:val="00023BCA"/>
    <w:rsid w:val="000335DA"/>
    <w:rsid w:val="00096AE0"/>
    <w:rsid w:val="002002CE"/>
    <w:rsid w:val="00206ADD"/>
    <w:rsid w:val="0021463C"/>
    <w:rsid w:val="002F3AA8"/>
    <w:rsid w:val="002F5DD4"/>
    <w:rsid w:val="00347B0A"/>
    <w:rsid w:val="003762AD"/>
    <w:rsid w:val="003A1F95"/>
    <w:rsid w:val="005E6279"/>
    <w:rsid w:val="00602AFE"/>
    <w:rsid w:val="0062590F"/>
    <w:rsid w:val="00696653"/>
    <w:rsid w:val="006D6AF1"/>
    <w:rsid w:val="00707A97"/>
    <w:rsid w:val="00713BF6"/>
    <w:rsid w:val="00742836"/>
    <w:rsid w:val="00825D32"/>
    <w:rsid w:val="008C369F"/>
    <w:rsid w:val="008C6C8F"/>
    <w:rsid w:val="008E4643"/>
    <w:rsid w:val="0098589C"/>
    <w:rsid w:val="009A2CBA"/>
    <w:rsid w:val="00A13815"/>
    <w:rsid w:val="00A73C72"/>
    <w:rsid w:val="00AA73CE"/>
    <w:rsid w:val="00AB550B"/>
    <w:rsid w:val="00AD3C39"/>
    <w:rsid w:val="00AF1525"/>
    <w:rsid w:val="00B056B2"/>
    <w:rsid w:val="00B36860"/>
    <w:rsid w:val="00B84989"/>
    <w:rsid w:val="00BD742F"/>
    <w:rsid w:val="00C70A46"/>
    <w:rsid w:val="00C722B3"/>
    <w:rsid w:val="00C7617C"/>
    <w:rsid w:val="00C94729"/>
    <w:rsid w:val="00CA222A"/>
    <w:rsid w:val="00CC53B5"/>
    <w:rsid w:val="00CC7A3C"/>
    <w:rsid w:val="00DF420A"/>
    <w:rsid w:val="00DF6F9B"/>
    <w:rsid w:val="00DF798E"/>
    <w:rsid w:val="00E71264"/>
    <w:rsid w:val="00E74C4C"/>
    <w:rsid w:val="00F36D79"/>
    <w:rsid w:val="0B593AE9"/>
    <w:rsid w:val="0DD0605A"/>
    <w:rsid w:val="0E38013F"/>
    <w:rsid w:val="10220A5F"/>
    <w:rsid w:val="110D3768"/>
    <w:rsid w:val="11566D84"/>
    <w:rsid w:val="133E74D7"/>
    <w:rsid w:val="162B4B2F"/>
    <w:rsid w:val="17BF6E32"/>
    <w:rsid w:val="1C512E16"/>
    <w:rsid w:val="1FAD4807"/>
    <w:rsid w:val="217C3B38"/>
    <w:rsid w:val="22390A5B"/>
    <w:rsid w:val="25D86403"/>
    <w:rsid w:val="26CE2C8A"/>
    <w:rsid w:val="27471C53"/>
    <w:rsid w:val="2F7531CC"/>
    <w:rsid w:val="31C61758"/>
    <w:rsid w:val="33641229"/>
    <w:rsid w:val="340E306A"/>
    <w:rsid w:val="343B7B19"/>
    <w:rsid w:val="3913623A"/>
    <w:rsid w:val="3AE36E90"/>
    <w:rsid w:val="3B7E27DA"/>
    <w:rsid w:val="42F04231"/>
    <w:rsid w:val="43866A63"/>
    <w:rsid w:val="46166B77"/>
    <w:rsid w:val="475539DD"/>
    <w:rsid w:val="49E97F4F"/>
    <w:rsid w:val="4CC66F65"/>
    <w:rsid w:val="530B4EA7"/>
    <w:rsid w:val="621E411E"/>
    <w:rsid w:val="626E00CB"/>
    <w:rsid w:val="63EA0E2F"/>
    <w:rsid w:val="64452786"/>
    <w:rsid w:val="6C112142"/>
    <w:rsid w:val="6D2545F8"/>
    <w:rsid w:val="6FE11FA1"/>
    <w:rsid w:val="70E52B41"/>
    <w:rsid w:val="77AD3535"/>
    <w:rsid w:val="793444A3"/>
    <w:rsid w:val="7E1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00" w:afterAutospacing="1"/>
      <w:ind w:left="600"/>
    </w:pPr>
    <w:rPr>
      <w:rFonts w:ascii="Arial Unicode MS" w:hAnsi="Arial Unicode MS" w:eastAsia="Arial Unicode MS" w:cs="Arial Unicode MS"/>
      <w:sz w:val="24"/>
    </w:rPr>
  </w:style>
  <w:style w:type="paragraph" w:styleId="3">
    <w:name w:val="Balloon Text"/>
    <w:basedOn w:val="1"/>
    <w:link w:val="8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Title"/>
    <w:basedOn w:val="1"/>
    <w:next w:val="1"/>
    <w:link w:val="7"/>
    <w:autoRedefine/>
    <w:qFormat/>
    <w:uiPriority w:val="0"/>
    <w:pPr>
      <w:spacing w:before="240" w:after="240"/>
      <w:jc w:val="center"/>
      <w:outlineLvl w:val="0"/>
    </w:pPr>
    <w:rPr>
      <w:rFonts w:asciiTheme="majorHAnsi" w:hAnsiTheme="majorHAnsi" w:cstheme="majorBidi"/>
      <w:b/>
      <w:bCs/>
      <w:sz w:val="48"/>
      <w:szCs w:val="32"/>
    </w:rPr>
  </w:style>
  <w:style w:type="character" w:customStyle="1" w:styleId="7">
    <w:name w:val="标题 字符"/>
    <w:basedOn w:val="6"/>
    <w:link w:val="4"/>
    <w:autoRedefine/>
    <w:qFormat/>
    <w:uiPriority w:val="0"/>
    <w:rPr>
      <w:rFonts w:asciiTheme="majorHAnsi" w:hAnsiTheme="majorHAnsi" w:cstheme="majorBidi"/>
      <w:b/>
      <w:bCs/>
      <w:sz w:val="48"/>
      <w:szCs w:val="32"/>
    </w:rPr>
  </w:style>
  <w:style w:type="character" w:customStyle="1" w:styleId="8">
    <w:name w:val="批注框文本 字符"/>
    <w:basedOn w:val="6"/>
    <w:link w:val="3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773</Characters>
  <Lines>6</Lines>
  <Paragraphs>1</Paragraphs>
  <TotalTime>189</TotalTime>
  <ScaleCrop>false</ScaleCrop>
  <LinksUpToDate>false</LinksUpToDate>
  <CharactersWithSpaces>774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2021-08-04T01:28:00Z</dcterms:created>
  <dc:creator>admin</dc:creator>
  <cp:lastModifiedBy>张娜</cp:lastModifiedBy>
  <cp:lastPrinted>2024-08-06T07:25:00Z</cp:lastPrinted>
  <dcterms:modified xsi:type="dcterms:W3CDTF">2026-05-04T15:15:41Z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5A4FCD40A66A41039669C4A2D77B7A07_13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