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山东公用置业集团有限公司</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cs="方正小标宋简体"/>
          <w:b/>
          <w:sz w:val="44"/>
          <w:szCs w:val="44"/>
        </w:rPr>
      </w:pPr>
      <w:r>
        <w:rPr>
          <w:rFonts w:hint="eastAsia" w:ascii="Times New Roman" w:hAnsi="Times New Roman" w:eastAsia="方正小标宋简体" w:cs="方正小标宋简体"/>
          <w:b/>
          <w:bCs/>
          <w:sz w:val="44"/>
          <w:szCs w:val="44"/>
          <w:lang w:val="en-US" w:eastAsia="zh-CN"/>
        </w:rPr>
        <w:t>2025年度</w:t>
      </w:r>
      <w:r>
        <w:rPr>
          <w:rFonts w:hint="eastAsia" w:ascii="Times New Roman" w:hAnsi="Times New Roman" w:eastAsia="方正小标宋简体" w:cs="方正小标宋简体"/>
          <w:b/>
          <w:bCs/>
          <w:sz w:val="44"/>
          <w:szCs w:val="44"/>
        </w:rPr>
        <w:t>财务等重大信息公开</w:t>
      </w:r>
    </w:p>
    <w:p>
      <w:pPr>
        <w:keepNext w:val="0"/>
        <w:keepLines w:val="0"/>
        <w:pageBreakBefore w:val="0"/>
        <w:kinsoku/>
        <w:wordWrap/>
        <w:overflowPunct/>
        <w:topLinePunct w:val="0"/>
        <w:bidi w:val="0"/>
        <w:spacing w:line="600" w:lineRule="exact"/>
        <w:rPr>
          <w:rFonts w:ascii="Times New Roman" w:hAnsi="Times New Roman" w:eastAsia="方正小标宋简体" w:cs="Times New Roman"/>
          <w:b/>
          <w:bCs/>
          <w:sz w:val="32"/>
          <w:szCs w:val="32"/>
        </w:rPr>
      </w:pPr>
    </w:p>
    <w:p>
      <w:pPr>
        <w:keepNext w:val="0"/>
        <w:keepLines w:val="0"/>
        <w:pageBreakBefore w:val="0"/>
        <w:numPr>
          <w:ilvl w:val="0"/>
          <w:numId w:val="1"/>
        </w:numPr>
        <w:kinsoku/>
        <w:wordWrap/>
        <w:overflowPunct/>
        <w:topLinePunct w:val="0"/>
        <w:bidi w:val="0"/>
        <w:snapToGrid w:val="0"/>
        <w:spacing w:line="600" w:lineRule="exact"/>
        <w:ind w:firstLine="643"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公司基本情况</w:t>
      </w:r>
    </w:p>
    <w:p>
      <w:pPr>
        <w:keepNext w:val="0"/>
        <w:keepLines w:val="0"/>
        <w:pageBreakBefore w:val="0"/>
        <w:kinsoku/>
        <w:wordWrap/>
        <w:overflowPunct/>
        <w:topLinePunct w:val="0"/>
        <w:bidi w:val="0"/>
        <w:spacing w:line="600" w:lineRule="exact"/>
        <w:ind w:firstLine="643" w:firstLineChars="200"/>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（一）企业简介</w:t>
      </w:r>
    </w:p>
    <w:p>
      <w:pPr>
        <w:keepNext w:val="0"/>
        <w:keepLines w:val="0"/>
        <w:pageBreakBefore w:val="0"/>
        <w:kinsoku/>
        <w:wordWrap/>
        <w:overflowPunct/>
        <w:topLinePunct w:val="0"/>
        <w:bidi w:val="0"/>
        <w:spacing w:line="60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山东公用置业集团有限公司是山东公用控股有限公司出资设立的国有独资企业。公司以“树立品牌形象，建设优质工程，打造诚信企业”为宗旨，一贯坚持以“市场为导向、开发为重点、经营为龙头、质量为根本”的开发理念和经营方针，积极打造优质环保工程，走品牌化道路。</w:t>
      </w:r>
    </w:p>
    <w:p>
      <w:pPr>
        <w:keepNext w:val="0"/>
        <w:keepLines w:val="0"/>
        <w:pageBreakBefore w:val="0"/>
        <w:kinsoku/>
        <w:wordWrap/>
        <w:overflowPunct/>
        <w:topLinePunct w:val="0"/>
        <w:bidi w:val="0"/>
        <w:spacing w:line="60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近年来，山东公用置业集团成功开发了太白湖新区“清泉美景”住宅、商务片区；兖州“公用瑞马名门”、“公用瑞马悦府”、“公用瑞马世家”、济宁高新区“公用瑞马新天地”、“公用·九巨龙理想城”；济宁任城区“禧悦”、嘉祥公用·九巨龙“山水龙城”；梁山“龙城公馆”等房地产项目。建设工程曾荣获“山东省建筑业新技术应用示范工程”、“山东省建筑施工安全文明小区”、“山东省节水型小区”、“山东省、济宁市优质结构”、“运河杯”、“沂蒙杯”等荣誉称号。</w:t>
      </w:r>
    </w:p>
    <w:p>
      <w:pPr>
        <w:keepNext w:val="0"/>
        <w:keepLines w:val="0"/>
        <w:pageBreakBefore w:val="0"/>
        <w:kinsoku/>
        <w:wordWrap/>
        <w:overflowPunct/>
        <w:topLinePunct w:val="0"/>
        <w:bidi w:val="0"/>
        <w:spacing w:line="60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公司致力于开发精品楼盘，优化济宁人居环境，精心为客户提供全方位、高品质的良好服务。开发项目典雅恢弘的建筑、匠心独运的设计，国际化标准物业管理服务使企业在济宁地产行业迅速成为一颗璀璨的明珠。</w:t>
      </w:r>
    </w:p>
    <w:p>
      <w:pPr>
        <w:keepNext w:val="0"/>
        <w:keepLines w:val="0"/>
        <w:pageBreakBefore w:val="0"/>
        <w:kinsoku/>
        <w:wordWrap/>
        <w:overflowPunct/>
        <w:topLinePunct w:val="0"/>
        <w:bidi w:val="0"/>
        <w:spacing w:line="600" w:lineRule="exact"/>
        <w:ind w:firstLine="643" w:firstLineChars="200"/>
        <w:rPr>
          <w:rFonts w:ascii="Times New Roman" w:hAnsi="Times New Roman" w:eastAsiaTheme="majorEastAsia" w:cstheme="majorEastAsia"/>
          <w:b/>
          <w:bCs/>
          <w:sz w:val="32"/>
          <w:szCs w:val="32"/>
        </w:rPr>
      </w:pPr>
      <w:r>
        <w:rPr>
          <w:rFonts w:hint="eastAsia" w:ascii="Times New Roman" w:hAnsi="Times New Roman" w:eastAsia="方正仿宋简体" w:cs="方正仿宋简体"/>
          <w:b/>
          <w:bCs/>
          <w:sz w:val="32"/>
          <w:szCs w:val="32"/>
        </w:rPr>
        <w:t>公司在经营管理中积极探索与市场机制相适应的经营策略，以国家政策为指导，充分发挥国有企业资源优势。坚持创新发展，以市场为主导，以客户需求为目标，以质量占领市场，以服务赢得人心的经营理念，努力为济宁人民提供温馨优雅的宜居家园。</w:t>
      </w:r>
    </w:p>
    <w:p>
      <w:pPr>
        <w:keepNext w:val="0"/>
        <w:keepLines w:val="0"/>
        <w:pageBreakBefore w:val="0"/>
        <w:kinsoku/>
        <w:wordWrap/>
        <w:overflowPunct/>
        <w:topLinePunct w:val="0"/>
        <w:bidi w:val="0"/>
        <w:spacing w:line="600" w:lineRule="exact"/>
        <w:ind w:firstLine="643" w:firstLineChars="200"/>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（二）企业基本信息</w:t>
      </w:r>
    </w:p>
    <w:p>
      <w:pPr>
        <w:keepNext w:val="0"/>
        <w:keepLines w:val="0"/>
        <w:pageBreakBefore w:val="0"/>
        <w:kinsoku/>
        <w:wordWrap/>
        <w:overflowPunct/>
        <w:topLinePunct w:val="0"/>
        <w:bidi w:val="0"/>
        <w:spacing w:line="60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企业名称：山东公用置业集团有限公司</w:t>
      </w:r>
    </w:p>
    <w:p>
      <w:pPr>
        <w:keepNext w:val="0"/>
        <w:keepLines w:val="0"/>
        <w:pageBreakBefore w:val="0"/>
        <w:kinsoku/>
        <w:wordWrap/>
        <w:overflowPunct/>
        <w:topLinePunct w:val="0"/>
        <w:bidi w:val="0"/>
        <w:spacing w:line="60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企业类型：有限责任公司</w:t>
      </w:r>
    </w:p>
    <w:p>
      <w:pPr>
        <w:keepNext w:val="0"/>
        <w:keepLines w:val="0"/>
        <w:pageBreakBefore w:val="0"/>
        <w:kinsoku/>
        <w:wordWrap/>
        <w:overflowPunct/>
        <w:topLinePunct w:val="0"/>
        <w:bidi w:val="0"/>
        <w:spacing w:line="240" w:lineRule="auto"/>
        <w:ind w:left="0" w:leftChars="0"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经营范围：房地产开发经营；物业管理；自有房地产经营活动；商品房销售；房地产投资；建筑工程施工；装饰装修；建筑材料销售；房地产信息查询；房屋出租。（依法须经批准的项目，经相关部门批准后开展经营活动）</w:t>
      </w:r>
    </w:p>
    <w:p>
      <w:pPr>
        <w:keepNext w:val="0"/>
        <w:keepLines w:val="0"/>
        <w:pageBreakBefore w:val="0"/>
        <w:kinsoku/>
        <w:wordWrap/>
        <w:overflowPunct/>
        <w:topLinePunct w:val="0"/>
        <w:bidi w:val="0"/>
        <w:spacing w:line="60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成立日期：2019年8月21日</w:t>
      </w:r>
    </w:p>
    <w:p>
      <w:pPr>
        <w:keepNext w:val="0"/>
        <w:keepLines w:val="0"/>
        <w:pageBreakBefore w:val="0"/>
        <w:kinsoku/>
        <w:wordWrap/>
        <w:overflowPunct/>
        <w:topLinePunct w:val="0"/>
        <w:bidi w:val="0"/>
        <w:spacing w:line="60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注册地址：山东省济宁市任城区红星中路23号</w:t>
      </w:r>
    </w:p>
    <w:p>
      <w:pPr>
        <w:keepNext w:val="0"/>
        <w:keepLines w:val="0"/>
        <w:pageBreakBefore w:val="0"/>
        <w:kinsoku/>
        <w:wordWrap/>
        <w:overflowPunct/>
        <w:topLinePunct w:val="0"/>
        <w:bidi w:val="0"/>
        <w:spacing w:line="60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登记机关：济宁市行政审批服务局</w:t>
      </w:r>
    </w:p>
    <w:p>
      <w:pPr>
        <w:keepNext w:val="0"/>
        <w:keepLines w:val="0"/>
        <w:pageBreakBefore w:val="0"/>
        <w:kinsoku/>
        <w:wordWrap/>
        <w:overflowPunct/>
        <w:topLinePunct w:val="0"/>
        <w:bidi w:val="0"/>
        <w:spacing w:line="600" w:lineRule="exact"/>
        <w:ind w:firstLine="643" w:firstLineChars="200"/>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（三）机构设置</w:t>
      </w:r>
    </w:p>
    <w:p>
      <w:pPr>
        <w:keepNext w:val="0"/>
        <w:keepLines w:val="0"/>
        <w:pageBreakBefore w:val="0"/>
        <w:kinsoku/>
        <w:wordWrap/>
        <w:overflowPunct/>
        <w:topLinePunct w:val="0"/>
        <w:bidi w:val="0"/>
        <w:spacing w:line="600" w:lineRule="exact"/>
        <w:ind w:firstLine="643" w:firstLineChars="200"/>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公司设董事会，董事长1人、董事2人。内部机构设置三部一室：综合办公室、计划财务部、市场发展部、工程管理部。</w:t>
      </w:r>
    </w:p>
    <w:p>
      <w:pPr>
        <w:keepNext w:val="0"/>
        <w:keepLines w:val="0"/>
        <w:pageBreakBefore w:val="0"/>
        <w:numPr>
          <w:ilvl w:val="0"/>
          <w:numId w:val="1"/>
        </w:numPr>
        <w:kinsoku/>
        <w:wordWrap/>
        <w:overflowPunct/>
        <w:topLinePunct w:val="0"/>
        <w:bidi w:val="0"/>
        <w:snapToGrid w:val="0"/>
        <w:spacing w:line="600" w:lineRule="exact"/>
        <w:ind w:firstLine="643" w:firstLineChars="200"/>
        <w:rPr>
          <w:rFonts w:ascii="Times New Roman" w:hAnsi="Times New Roman" w:eastAsia="方正黑体简体" w:cs="Times New Roman"/>
          <w:b/>
          <w:bCs/>
          <w:sz w:val="32"/>
          <w:szCs w:val="32"/>
        </w:rPr>
      </w:pPr>
      <w:r>
        <w:rPr>
          <w:rFonts w:hint="eastAsia" w:ascii="Times New Roman" w:hAnsi="Times New Roman" w:eastAsia="方正黑体简体" w:cs="Times New Roman"/>
          <w:b/>
          <w:bCs/>
          <w:sz w:val="32"/>
          <w:szCs w:val="32"/>
        </w:rPr>
        <w:t>主要会计数据和财务指标</w:t>
      </w:r>
    </w:p>
    <w:tbl>
      <w:tblPr>
        <w:tblStyle w:val="5"/>
        <w:tblW w:w="5215" w:type="pct"/>
        <w:tblInd w:w="-177" w:type="dxa"/>
        <w:tblLayout w:type="fixed"/>
        <w:tblCellMar>
          <w:top w:w="0" w:type="dxa"/>
          <w:left w:w="108" w:type="dxa"/>
          <w:bottom w:w="0" w:type="dxa"/>
          <w:right w:w="108" w:type="dxa"/>
        </w:tblCellMar>
      </w:tblPr>
      <w:tblGrid>
        <w:gridCol w:w="1845"/>
        <w:gridCol w:w="1950"/>
        <w:gridCol w:w="1965"/>
        <w:gridCol w:w="1875"/>
        <w:gridCol w:w="1815"/>
      </w:tblGrid>
      <w:tr>
        <w:tblPrEx>
          <w:tblCellMar>
            <w:top w:w="0" w:type="dxa"/>
            <w:left w:w="108" w:type="dxa"/>
            <w:bottom w:w="0" w:type="dxa"/>
            <w:right w:w="108" w:type="dxa"/>
          </w:tblCellMar>
        </w:tblPrEx>
        <w:trPr>
          <w:trHeight w:val="610" w:hRule="atLeast"/>
        </w:trPr>
        <w:tc>
          <w:tcPr>
            <w:tcW w:w="5000" w:type="pct"/>
            <w:gridSpan w:val="5"/>
            <w:tcBorders>
              <w:top w:val="nil"/>
              <w:left w:val="nil"/>
              <w:bottom w:val="single" w:color="auto" w:sz="8" w:space="0"/>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left"/>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 xml:space="preserve">单位： 山东公用置业集团有限公司（合并）    </w:t>
            </w:r>
            <w:r>
              <w:rPr>
                <w:rFonts w:hint="eastAsia" w:ascii="Times New Roman" w:hAnsi="Times New Roman" w:eastAsia="方正仿宋简体" w:cs="Times New Roman"/>
                <w:b/>
                <w:bCs/>
                <w:color w:val="000000"/>
                <w:kern w:val="0"/>
                <w:sz w:val="32"/>
                <w:szCs w:val="32"/>
                <w:lang w:val="en-US" w:eastAsia="zh-CN"/>
              </w:rPr>
              <w:t xml:space="preserve">   </w:t>
            </w:r>
            <w:r>
              <w:rPr>
                <w:rFonts w:hint="default" w:ascii="Times New Roman" w:hAnsi="Times New Roman" w:eastAsia="方正仿宋简体" w:cs="Times New Roman"/>
                <w:b/>
                <w:bCs/>
                <w:color w:val="000000"/>
                <w:kern w:val="0"/>
                <w:sz w:val="32"/>
                <w:szCs w:val="32"/>
              </w:rPr>
              <w:t xml:space="preserve"> 单位：万元</w:t>
            </w:r>
          </w:p>
        </w:tc>
      </w:tr>
      <w:tr>
        <w:tblPrEx>
          <w:tblCellMar>
            <w:top w:w="0" w:type="dxa"/>
            <w:left w:w="108" w:type="dxa"/>
            <w:bottom w:w="0" w:type="dxa"/>
            <w:right w:w="108" w:type="dxa"/>
          </w:tblCellMar>
        </w:tblPrEx>
        <w:trPr>
          <w:trHeight w:val="600" w:hRule="atLeast"/>
        </w:trPr>
        <w:tc>
          <w:tcPr>
            <w:tcW w:w="976" w:type="pct"/>
            <w:tcBorders>
              <w:top w:val="nil"/>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color w:val="000000"/>
                <w:kern w:val="0"/>
                <w:sz w:val="32"/>
                <w:szCs w:val="32"/>
              </w:rPr>
            </w:pPr>
            <w:r>
              <w:rPr>
                <w:rFonts w:hint="eastAsia" w:ascii="方正黑体简体" w:hAnsi="方正黑体简体" w:eastAsia="方正黑体简体" w:cs="方正黑体简体"/>
                <w:b/>
                <w:bCs/>
                <w:i w:val="0"/>
                <w:iCs w:val="0"/>
                <w:color w:val="000000"/>
                <w:kern w:val="0"/>
                <w:sz w:val="32"/>
                <w:szCs w:val="32"/>
                <w:u w:val="none"/>
                <w:lang w:val="en-US" w:eastAsia="zh-CN" w:bidi="ar"/>
              </w:rPr>
              <w:t>项目</w:t>
            </w:r>
          </w:p>
        </w:tc>
        <w:tc>
          <w:tcPr>
            <w:tcW w:w="10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color w:val="000000"/>
                <w:kern w:val="0"/>
                <w:sz w:val="32"/>
                <w:szCs w:val="32"/>
              </w:rPr>
            </w:pPr>
            <w:r>
              <w:rPr>
                <w:rFonts w:hint="eastAsia" w:ascii="方正黑体简体" w:hAnsi="方正黑体简体" w:eastAsia="方正黑体简体" w:cs="方正黑体简体"/>
                <w:b/>
                <w:bCs/>
                <w:i w:val="0"/>
                <w:iCs w:val="0"/>
                <w:color w:val="000000"/>
                <w:kern w:val="0"/>
                <w:sz w:val="32"/>
                <w:szCs w:val="32"/>
                <w:u w:val="none"/>
                <w:lang w:val="en-US" w:eastAsia="zh-CN" w:bidi="ar"/>
              </w:rPr>
              <w:t xml:space="preserve"> 本期金额</w:t>
            </w:r>
          </w:p>
        </w:tc>
        <w:tc>
          <w:tcPr>
            <w:tcW w:w="10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color w:val="000000"/>
                <w:kern w:val="0"/>
                <w:sz w:val="32"/>
                <w:szCs w:val="32"/>
              </w:rPr>
            </w:pPr>
            <w:r>
              <w:rPr>
                <w:rFonts w:hint="eastAsia" w:ascii="方正黑体简体" w:hAnsi="方正黑体简体" w:eastAsia="方正黑体简体" w:cs="方正黑体简体"/>
                <w:b/>
                <w:bCs/>
                <w:i w:val="0"/>
                <w:iCs w:val="0"/>
                <w:color w:val="000000"/>
                <w:kern w:val="0"/>
                <w:sz w:val="32"/>
                <w:szCs w:val="32"/>
                <w:u w:val="none"/>
                <w:lang w:val="en-US" w:eastAsia="zh-CN" w:bidi="ar"/>
              </w:rPr>
              <w:t xml:space="preserve"> 年度预算目标</w:t>
            </w:r>
          </w:p>
        </w:tc>
        <w:tc>
          <w:tcPr>
            <w:tcW w:w="9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color w:val="000000"/>
                <w:kern w:val="0"/>
                <w:sz w:val="32"/>
                <w:szCs w:val="32"/>
              </w:rPr>
            </w:pPr>
            <w:r>
              <w:rPr>
                <w:rFonts w:hint="eastAsia" w:ascii="方正黑体简体" w:hAnsi="方正黑体简体" w:eastAsia="方正黑体简体" w:cs="方正黑体简体"/>
                <w:b/>
                <w:bCs/>
                <w:i w:val="0"/>
                <w:iCs w:val="0"/>
                <w:color w:val="000000"/>
                <w:kern w:val="0"/>
                <w:sz w:val="32"/>
                <w:szCs w:val="32"/>
                <w:u w:val="none"/>
                <w:lang w:val="en-US" w:eastAsia="zh-CN" w:bidi="ar"/>
              </w:rPr>
              <w:t xml:space="preserve"> 预算完成情况</w:t>
            </w:r>
          </w:p>
        </w:tc>
        <w:tc>
          <w:tcPr>
            <w:tcW w:w="960" w:type="pct"/>
            <w:tcBorders>
              <w:top w:val="nil"/>
              <w:left w:val="nil"/>
              <w:bottom w:val="single" w:color="auto" w:sz="4"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color w:val="000000"/>
                <w:kern w:val="0"/>
                <w:sz w:val="32"/>
                <w:szCs w:val="32"/>
              </w:rPr>
            </w:pPr>
            <w:r>
              <w:rPr>
                <w:rFonts w:hint="eastAsia" w:ascii="方正黑体简体" w:hAnsi="方正黑体简体" w:eastAsia="方正黑体简体" w:cs="方正黑体简体"/>
                <w:b/>
                <w:bCs/>
                <w:i w:val="0"/>
                <w:iCs w:val="0"/>
                <w:color w:val="000000"/>
                <w:kern w:val="0"/>
                <w:sz w:val="32"/>
                <w:szCs w:val="32"/>
                <w:u w:val="none"/>
                <w:lang w:val="en-US" w:eastAsia="zh-CN" w:bidi="ar"/>
              </w:rPr>
              <w:t xml:space="preserve"> 上年同期</w:t>
            </w:r>
          </w:p>
        </w:tc>
      </w:tr>
      <w:tr>
        <w:tblPrEx>
          <w:tblCellMar>
            <w:top w:w="0" w:type="dxa"/>
            <w:left w:w="108" w:type="dxa"/>
            <w:bottom w:w="0" w:type="dxa"/>
            <w:right w:w="108" w:type="dxa"/>
          </w:tblCellMar>
        </w:tblPrEx>
        <w:trPr>
          <w:trHeight w:val="600" w:hRule="atLeast"/>
        </w:trPr>
        <w:tc>
          <w:tcPr>
            <w:tcW w:w="9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营业总收入</w:t>
            </w:r>
          </w:p>
        </w:tc>
        <w:tc>
          <w:tcPr>
            <w:tcW w:w="103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248,790.23</w:t>
            </w:r>
          </w:p>
        </w:tc>
        <w:tc>
          <w:tcPr>
            <w:tcW w:w="103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208,523.92</w:t>
            </w:r>
          </w:p>
        </w:tc>
        <w:tc>
          <w:tcPr>
            <w:tcW w:w="99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119.31%</w:t>
            </w:r>
          </w:p>
        </w:tc>
        <w:tc>
          <w:tcPr>
            <w:tcW w:w="96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212,653</w:t>
            </w:r>
          </w:p>
        </w:tc>
      </w:tr>
      <w:tr>
        <w:tblPrEx>
          <w:tblCellMar>
            <w:top w:w="0" w:type="dxa"/>
            <w:left w:w="108" w:type="dxa"/>
            <w:bottom w:w="0" w:type="dxa"/>
            <w:right w:w="108" w:type="dxa"/>
          </w:tblCellMar>
        </w:tblPrEx>
        <w:trPr>
          <w:trHeight w:val="600" w:hRule="atLeast"/>
        </w:trPr>
        <w:tc>
          <w:tcPr>
            <w:tcW w:w="976" w:type="pct"/>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营业总成本</w:t>
            </w:r>
          </w:p>
        </w:tc>
        <w:tc>
          <w:tcPr>
            <w:tcW w:w="103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231,414.88</w:t>
            </w:r>
          </w:p>
        </w:tc>
        <w:tc>
          <w:tcPr>
            <w:tcW w:w="103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191,027.07</w:t>
            </w:r>
          </w:p>
        </w:tc>
        <w:tc>
          <w:tcPr>
            <w:tcW w:w="99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121.14%</w:t>
            </w:r>
          </w:p>
        </w:tc>
        <w:tc>
          <w:tcPr>
            <w:tcW w:w="960" w:type="pct"/>
            <w:tcBorders>
              <w:top w:val="single" w:color="auto" w:sz="4" w:space="0"/>
              <w:left w:val="nil"/>
              <w:bottom w:val="single" w:color="auto" w:sz="4"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193,343</w:t>
            </w:r>
          </w:p>
        </w:tc>
      </w:tr>
      <w:tr>
        <w:tblPrEx>
          <w:tblCellMar>
            <w:top w:w="0" w:type="dxa"/>
            <w:left w:w="108" w:type="dxa"/>
            <w:bottom w:w="0" w:type="dxa"/>
            <w:right w:w="108" w:type="dxa"/>
          </w:tblCellMar>
        </w:tblPrEx>
        <w:trPr>
          <w:trHeight w:val="600" w:hRule="atLeast"/>
        </w:trPr>
        <w:tc>
          <w:tcPr>
            <w:tcW w:w="976" w:type="pct"/>
            <w:tcBorders>
              <w:top w:val="nil"/>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利润总额</w:t>
            </w:r>
          </w:p>
        </w:tc>
        <w:tc>
          <w:tcPr>
            <w:tcW w:w="10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20,893.80</w:t>
            </w:r>
          </w:p>
        </w:tc>
        <w:tc>
          <w:tcPr>
            <w:tcW w:w="10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22,499.00</w:t>
            </w:r>
          </w:p>
        </w:tc>
        <w:tc>
          <w:tcPr>
            <w:tcW w:w="9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92.87%</w:t>
            </w:r>
          </w:p>
        </w:tc>
        <w:tc>
          <w:tcPr>
            <w:tcW w:w="960" w:type="pct"/>
            <w:tcBorders>
              <w:top w:val="nil"/>
              <w:left w:val="nil"/>
              <w:bottom w:val="single" w:color="auto" w:sz="4"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22,498</w:t>
            </w:r>
          </w:p>
        </w:tc>
      </w:tr>
      <w:tr>
        <w:tblPrEx>
          <w:tblCellMar>
            <w:top w:w="0" w:type="dxa"/>
            <w:left w:w="108" w:type="dxa"/>
            <w:bottom w:w="0" w:type="dxa"/>
            <w:right w:w="108" w:type="dxa"/>
          </w:tblCellMar>
        </w:tblPrEx>
        <w:trPr>
          <w:trHeight w:val="600" w:hRule="atLeast"/>
        </w:trPr>
        <w:tc>
          <w:tcPr>
            <w:tcW w:w="976" w:type="pct"/>
            <w:tcBorders>
              <w:top w:val="nil"/>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净利润</w:t>
            </w:r>
          </w:p>
        </w:tc>
        <w:tc>
          <w:tcPr>
            <w:tcW w:w="10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16,511.19</w:t>
            </w:r>
          </w:p>
        </w:tc>
        <w:tc>
          <w:tcPr>
            <w:tcW w:w="10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17,464.70</w:t>
            </w:r>
          </w:p>
        </w:tc>
        <w:tc>
          <w:tcPr>
            <w:tcW w:w="9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94.54%</w:t>
            </w:r>
          </w:p>
        </w:tc>
        <w:tc>
          <w:tcPr>
            <w:tcW w:w="960" w:type="pct"/>
            <w:tcBorders>
              <w:top w:val="nil"/>
              <w:left w:val="nil"/>
              <w:bottom w:val="single" w:color="auto" w:sz="4"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16,960</w:t>
            </w:r>
          </w:p>
        </w:tc>
      </w:tr>
      <w:tr>
        <w:tblPrEx>
          <w:tblCellMar>
            <w:top w:w="0" w:type="dxa"/>
            <w:left w:w="108" w:type="dxa"/>
            <w:bottom w:w="0" w:type="dxa"/>
            <w:right w:w="108" w:type="dxa"/>
          </w:tblCellMar>
        </w:tblPrEx>
        <w:trPr>
          <w:trHeight w:val="600" w:hRule="atLeast"/>
        </w:trPr>
        <w:tc>
          <w:tcPr>
            <w:tcW w:w="976" w:type="pct"/>
            <w:tcBorders>
              <w:top w:val="nil"/>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资产总额</w:t>
            </w:r>
          </w:p>
        </w:tc>
        <w:tc>
          <w:tcPr>
            <w:tcW w:w="10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971,340</w:t>
            </w:r>
          </w:p>
        </w:tc>
        <w:tc>
          <w:tcPr>
            <w:tcW w:w="10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1,029,865.45</w:t>
            </w:r>
          </w:p>
        </w:tc>
        <w:tc>
          <w:tcPr>
            <w:tcW w:w="9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94.32%</w:t>
            </w:r>
          </w:p>
        </w:tc>
        <w:tc>
          <w:tcPr>
            <w:tcW w:w="960" w:type="pct"/>
            <w:tcBorders>
              <w:top w:val="nil"/>
              <w:left w:val="nil"/>
              <w:bottom w:val="single" w:color="auto" w:sz="4"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1,100,090</w:t>
            </w:r>
          </w:p>
        </w:tc>
      </w:tr>
      <w:tr>
        <w:tblPrEx>
          <w:tblCellMar>
            <w:top w:w="0" w:type="dxa"/>
            <w:left w:w="108" w:type="dxa"/>
            <w:bottom w:w="0" w:type="dxa"/>
            <w:right w:w="108" w:type="dxa"/>
          </w:tblCellMar>
        </w:tblPrEx>
        <w:trPr>
          <w:trHeight w:val="600" w:hRule="atLeast"/>
        </w:trPr>
        <w:tc>
          <w:tcPr>
            <w:tcW w:w="976" w:type="pct"/>
            <w:tcBorders>
              <w:top w:val="nil"/>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负债总额</w:t>
            </w:r>
          </w:p>
        </w:tc>
        <w:tc>
          <w:tcPr>
            <w:tcW w:w="10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755,701</w:t>
            </w:r>
          </w:p>
        </w:tc>
        <w:tc>
          <w:tcPr>
            <w:tcW w:w="10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782,319.01</w:t>
            </w:r>
          </w:p>
        </w:tc>
        <w:tc>
          <w:tcPr>
            <w:tcW w:w="9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96.60%</w:t>
            </w:r>
          </w:p>
        </w:tc>
        <w:tc>
          <w:tcPr>
            <w:tcW w:w="960" w:type="pct"/>
            <w:tcBorders>
              <w:top w:val="nil"/>
              <w:left w:val="nil"/>
              <w:bottom w:val="single" w:color="auto" w:sz="4"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870,008</w:t>
            </w:r>
          </w:p>
        </w:tc>
      </w:tr>
      <w:tr>
        <w:tblPrEx>
          <w:tblCellMar>
            <w:top w:w="0" w:type="dxa"/>
            <w:left w:w="108" w:type="dxa"/>
            <w:bottom w:w="0" w:type="dxa"/>
            <w:right w:w="108" w:type="dxa"/>
          </w:tblCellMar>
        </w:tblPrEx>
        <w:trPr>
          <w:trHeight w:val="600" w:hRule="atLeast"/>
        </w:trPr>
        <w:tc>
          <w:tcPr>
            <w:tcW w:w="976" w:type="pct"/>
            <w:tcBorders>
              <w:top w:val="nil"/>
              <w:left w:val="single" w:color="auto" w:sz="8" w:space="0"/>
              <w:bottom w:val="single" w:color="auto" w:sz="8"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所有者权益</w:t>
            </w:r>
          </w:p>
        </w:tc>
        <w:tc>
          <w:tcPr>
            <w:tcW w:w="1031" w:type="pct"/>
            <w:tcBorders>
              <w:top w:val="nil"/>
              <w:left w:val="nil"/>
              <w:bottom w:val="single" w:color="auto" w:sz="8"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215,638</w:t>
            </w:r>
          </w:p>
        </w:tc>
        <w:tc>
          <w:tcPr>
            <w:tcW w:w="1039" w:type="pct"/>
            <w:tcBorders>
              <w:top w:val="nil"/>
              <w:left w:val="nil"/>
              <w:bottom w:val="single" w:color="auto" w:sz="8"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247,546.44</w:t>
            </w:r>
          </w:p>
        </w:tc>
        <w:tc>
          <w:tcPr>
            <w:tcW w:w="992" w:type="pct"/>
            <w:tcBorders>
              <w:top w:val="nil"/>
              <w:left w:val="nil"/>
              <w:bottom w:val="single" w:color="auto" w:sz="8"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87.11%</w:t>
            </w:r>
          </w:p>
        </w:tc>
        <w:tc>
          <w:tcPr>
            <w:tcW w:w="960" w:type="pct"/>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230,082</w:t>
            </w:r>
          </w:p>
        </w:tc>
      </w:tr>
    </w:tbl>
    <w:p>
      <w:pPr>
        <w:keepNext w:val="0"/>
        <w:keepLines w:val="0"/>
        <w:pageBreakBefore w:val="0"/>
        <w:numPr>
          <w:ilvl w:val="0"/>
          <w:numId w:val="1"/>
        </w:numPr>
        <w:kinsoku/>
        <w:wordWrap/>
        <w:overflowPunct/>
        <w:topLinePunct w:val="0"/>
        <w:bidi w:val="0"/>
        <w:snapToGrid w:val="0"/>
        <w:spacing w:line="600" w:lineRule="exact"/>
        <w:ind w:firstLine="643" w:firstLineChars="200"/>
        <w:rPr>
          <w:rFonts w:hint="eastAsia" w:ascii="Times New Roman" w:hAnsi="Times New Roman" w:eastAsia="方正黑体简体" w:cs="Times New Roman"/>
          <w:b/>
          <w:bCs/>
          <w:sz w:val="32"/>
          <w:szCs w:val="32"/>
        </w:rPr>
      </w:pPr>
      <w:r>
        <w:rPr>
          <w:rFonts w:hint="eastAsia" w:ascii="Times New Roman" w:hAnsi="Times New Roman" w:eastAsia="方正黑体简体" w:cs="Times New Roman"/>
          <w:b/>
          <w:bCs/>
          <w:sz w:val="32"/>
          <w:szCs w:val="32"/>
        </w:rPr>
        <w:t>财务预算执行情况</w:t>
      </w:r>
    </w:p>
    <w:p>
      <w:pPr>
        <w:pStyle w:val="10"/>
        <w:keepNext w:val="0"/>
        <w:keepLines w:val="0"/>
        <w:pageBreakBefore w:val="0"/>
        <w:kinsoku/>
        <w:wordWrap/>
        <w:overflowPunct/>
        <w:topLinePunct w:val="0"/>
        <w:bidi w:val="0"/>
        <w:spacing w:line="600" w:lineRule="exact"/>
        <w:ind w:firstLine="643" w:firstLineChars="200"/>
        <w:jc w:val="both"/>
        <w:rPr>
          <w:rFonts w:hint="eastAsia" w:ascii="Times New Roman" w:hAnsi="Times New Roman" w:eastAsia="方正仿宋简体" w:cs="方正仿宋简体"/>
          <w:b/>
          <w:bCs/>
          <w:color w:val="auto"/>
          <w:kern w:val="2"/>
          <w:sz w:val="32"/>
          <w:szCs w:val="32"/>
        </w:rPr>
      </w:pPr>
      <w:r>
        <w:rPr>
          <w:rFonts w:hint="eastAsia" w:ascii="Times New Roman" w:hAnsi="Times New Roman" w:eastAsia="方正仿宋简体" w:cs="方正仿宋简体"/>
          <w:b/>
          <w:bCs/>
          <w:color w:val="auto"/>
          <w:kern w:val="2"/>
          <w:sz w:val="32"/>
          <w:szCs w:val="32"/>
          <w:lang w:val="en-US" w:eastAsia="zh-CN"/>
        </w:rPr>
        <w:t>2025年度</w:t>
      </w:r>
      <w:r>
        <w:rPr>
          <w:rFonts w:ascii="Times New Roman" w:hAnsi="Times New Roman" w:eastAsia="方正仿宋简体" w:cs="方正仿宋简体"/>
          <w:b/>
          <w:bCs/>
          <w:color w:val="auto"/>
          <w:kern w:val="2"/>
          <w:sz w:val="32"/>
          <w:szCs w:val="32"/>
        </w:rPr>
        <w:t>置业集团合并口径：累计实现营业收入</w:t>
      </w:r>
      <w:r>
        <w:rPr>
          <w:rFonts w:hint="eastAsia" w:ascii="Times New Roman" w:hAnsi="Times New Roman" w:eastAsia="方正仿宋简体" w:cs="方正仿宋简体"/>
          <w:b/>
          <w:bCs/>
          <w:color w:val="auto"/>
          <w:kern w:val="2"/>
          <w:sz w:val="32"/>
          <w:szCs w:val="32"/>
          <w:lang w:val="en-US" w:eastAsia="zh-CN"/>
        </w:rPr>
        <w:t>24.88亿</w:t>
      </w:r>
      <w:r>
        <w:rPr>
          <w:rFonts w:ascii="Times New Roman" w:hAnsi="Times New Roman" w:eastAsia="方正仿宋简体" w:cs="方正仿宋简体"/>
          <w:b/>
          <w:bCs/>
          <w:color w:val="auto"/>
          <w:kern w:val="2"/>
          <w:sz w:val="32"/>
          <w:szCs w:val="32"/>
        </w:rPr>
        <w:t>元，完成全年预算</w:t>
      </w:r>
      <w:r>
        <w:rPr>
          <w:rFonts w:hint="eastAsia" w:ascii="Times New Roman" w:hAnsi="Times New Roman" w:eastAsia="方正仿宋简体" w:cs="方正仿宋简体"/>
          <w:b/>
          <w:bCs/>
          <w:color w:val="auto"/>
          <w:kern w:val="2"/>
          <w:sz w:val="32"/>
          <w:szCs w:val="32"/>
          <w:lang w:val="en-US" w:eastAsia="zh-CN"/>
        </w:rPr>
        <w:t>20.85</w:t>
      </w:r>
      <w:r>
        <w:rPr>
          <w:rFonts w:ascii="Times New Roman" w:hAnsi="Times New Roman" w:eastAsia="方正仿宋简体" w:cs="方正仿宋简体"/>
          <w:b/>
          <w:bCs/>
          <w:color w:val="auto"/>
          <w:kern w:val="2"/>
          <w:sz w:val="32"/>
          <w:szCs w:val="32"/>
        </w:rPr>
        <w:t>亿元的</w:t>
      </w:r>
      <w:r>
        <w:rPr>
          <w:rFonts w:hint="eastAsia" w:ascii="Times New Roman" w:hAnsi="Times New Roman" w:eastAsia="方正仿宋简体" w:cs="方正仿宋简体"/>
          <w:b/>
          <w:bCs/>
          <w:color w:val="auto"/>
          <w:kern w:val="2"/>
          <w:sz w:val="32"/>
          <w:szCs w:val="32"/>
          <w:lang w:val="en-US" w:eastAsia="zh-CN"/>
        </w:rPr>
        <w:t>119.31%</w:t>
      </w:r>
      <w:r>
        <w:rPr>
          <w:rFonts w:ascii="Times New Roman" w:hAnsi="Times New Roman" w:eastAsia="方正仿宋简体" w:cs="方正仿宋简体"/>
          <w:b/>
          <w:bCs/>
          <w:color w:val="auto"/>
          <w:kern w:val="2"/>
          <w:sz w:val="32"/>
          <w:szCs w:val="32"/>
        </w:rPr>
        <w:t>；累计实现利润总额</w:t>
      </w:r>
      <w:r>
        <w:rPr>
          <w:rFonts w:hint="eastAsia" w:ascii="Times New Roman" w:hAnsi="Times New Roman" w:eastAsia="方正仿宋简体" w:cs="方正仿宋简体"/>
          <w:b/>
          <w:bCs/>
          <w:color w:val="auto"/>
          <w:kern w:val="2"/>
          <w:sz w:val="32"/>
          <w:szCs w:val="32"/>
          <w:lang w:val="en-US" w:eastAsia="zh-CN"/>
        </w:rPr>
        <w:t>2.09亿元</w:t>
      </w:r>
      <w:r>
        <w:rPr>
          <w:rFonts w:ascii="Times New Roman" w:hAnsi="Times New Roman" w:eastAsia="方正仿宋简体" w:cs="方正仿宋简体"/>
          <w:b/>
          <w:bCs/>
          <w:color w:val="auto"/>
          <w:kern w:val="2"/>
          <w:sz w:val="32"/>
          <w:szCs w:val="32"/>
        </w:rPr>
        <w:t>，完成全年预算</w:t>
      </w:r>
      <w:r>
        <w:rPr>
          <w:rFonts w:hint="eastAsia" w:ascii="Times New Roman" w:hAnsi="Times New Roman" w:eastAsia="方正仿宋简体" w:cs="方正仿宋简体"/>
          <w:b/>
          <w:bCs/>
          <w:color w:val="auto"/>
          <w:kern w:val="2"/>
          <w:sz w:val="32"/>
          <w:szCs w:val="32"/>
          <w:lang w:val="en-US" w:eastAsia="zh-CN"/>
        </w:rPr>
        <w:t>2.25</w:t>
      </w:r>
      <w:r>
        <w:rPr>
          <w:rFonts w:ascii="Times New Roman" w:hAnsi="Times New Roman" w:eastAsia="方正仿宋简体" w:cs="方正仿宋简体"/>
          <w:b/>
          <w:bCs/>
          <w:color w:val="auto"/>
          <w:kern w:val="2"/>
          <w:sz w:val="32"/>
          <w:szCs w:val="32"/>
        </w:rPr>
        <w:t>亿元的</w:t>
      </w:r>
      <w:r>
        <w:rPr>
          <w:rFonts w:hint="eastAsia" w:ascii="Times New Roman" w:hAnsi="Times New Roman" w:eastAsia="方正仿宋简体" w:cs="方正仿宋简体"/>
          <w:b/>
          <w:bCs/>
          <w:color w:val="auto"/>
          <w:kern w:val="2"/>
          <w:sz w:val="32"/>
          <w:szCs w:val="32"/>
          <w:lang w:val="en-US" w:eastAsia="zh-CN"/>
        </w:rPr>
        <w:t>92.87%</w:t>
      </w:r>
      <w:r>
        <w:rPr>
          <w:rFonts w:ascii="Times New Roman" w:hAnsi="Times New Roman" w:eastAsia="方正仿宋简体" w:cs="方正仿宋简体"/>
          <w:b/>
          <w:bCs/>
          <w:color w:val="auto"/>
          <w:kern w:val="2"/>
          <w:sz w:val="32"/>
          <w:szCs w:val="32"/>
        </w:rPr>
        <w:t>；累计实现净利润</w:t>
      </w:r>
      <w:r>
        <w:rPr>
          <w:rFonts w:hint="eastAsia" w:ascii="Times New Roman" w:hAnsi="Times New Roman" w:eastAsia="方正仿宋简体" w:cs="方正仿宋简体"/>
          <w:b/>
          <w:bCs/>
          <w:color w:val="auto"/>
          <w:kern w:val="2"/>
          <w:sz w:val="32"/>
          <w:szCs w:val="32"/>
          <w:lang w:val="en-US" w:eastAsia="zh-CN"/>
        </w:rPr>
        <w:t>1.65亿</w:t>
      </w:r>
      <w:r>
        <w:rPr>
          <w:rFonts w:ascii="Times New Roman" w:hAnsi="Times New Roman" w:eastAsia="方正仿宋简体" w:cs="方正仿宋简体"/>
          <w:b/>
          <w:bCs/>
          <w:color w:val="auto"/>
          <w:kern w:val="2"/>
          <w:sz w:val="32"/>
          <w:szCs w:val="32"/>
        </w:rPr>
        <w:t>元，完成全年预算</w:t>
      </w:r>
      <w:r>
        <w:rPr>
          <w:rFonts w:hint="eastAsia" w:ascii="Times New Roman" w:hAnsi="Times New Roman" w:eastAsia="方正仿宋简体" w:cs="方正仿宋简体"/>
          <w:b/>
          <w:bCs/>
          <w:color w:val="auto"/>
          <w:kern w:val="2"/>
          <w:sz w:val="32"/>
          <w:szCs w:val="32"/>
          <w:lang w:val="en-US" w:eastAsia="zh-CN"/>
        </w:rPr>
        <w:t>1.75亿</w:t>
      </w:r>
      <w:r>
        <w:rPr>
          <w:rFonts w:ascii="Times New Roman" w:hAnsi="Times New Roman" w:eastAsia="方正仿宋简体" w:cs="方正仿宋简体"/>
          <w:b/>
          <w:bCs/>
          <w:color w:val="auto"/>
          <w:kern w:val="2"/>
          <w:sz w:val="32"/>
          <w:szCs w:val="32"/>
        </w:rPr>
        <w:t>元的</w:t>
      </w:r>
      <w:r>
        <w:rPr>
          <w:rFonts w:hint="eastAsia" w:ascii="Times New Roman" w:hAnsi="Times New Roman" w:eastAsia="方正仿宋简体" w:cs="方正仿宋简体"/>
          <w:b/>
          <w:bCs/>
          <w:color w:val="auto"/>
          <w:kern w:val="2"/>
          <w:sz w:val="32"/>
          <w:szCs w:val="32"/>
          <w:lang w:val="en-US" w:eastAsia="zh-CN"/>
        </w:rPr>
        <w:t>94.54%</w:t>
      </w:r>
      <w:r>
        <w:rPr>
          <w:rFonts w:ascii="Times New Roman" w:hAnsi="Times New Roman" w:eastAsia="方正仿宋简体" w:cs="方正仿宋简体"/>
          <w:b/>
          <w:bCs/>
          <w:color w:val="auto"/>
          <w:kern w:val="2"/>
          <w:sz w:val="32"/>
          <w:szCs w:val="32"/>
        </w:rPr>
        <w:t>。</w:t>
      </w:r>
      <w:r>
        <w:rPr>
          <w:rFonts w:hint="eastAsia" w:ascii="Times New Roman" w:hAnsi="Times New Roman" w:eastAsia="方正仿宋简体" w:cs="方正仿宋简体"/>
          <w:b/>
          <w:bCs/>
          <w:color w:val="auto"/>
          <w:kern w:val="2"/>
          <w:sz w:val="32"/>
          <w:szCs w:val="32"/>
          <w:lang w:val="en-US" w:eastAsia="zh-CN"/>
        </w:rPr>
        <w:t>12月底</w:t>
      </w:r>
      <w:r>
        <w:rPr>
          <w:rFonts w:hint="eastAsia" w:ascii="Times New Roman" w:hAnsi="Times New Roman" w:eastAsia="方正仿宋简体" w:cs="方正仿宋简体"/>
          <w:b/>
          <w:bCs/>
          <w:color w:val="auto"/>
          <w:kern w:val="2"/>
          <w:sz w:val="32"/>
          <w:szCs w:val="32"/>
        </w:rPr>
        <w:t>资产负债率</w:t>
      </w:r>
      <w:r>
        <w:rPr>
          <w:rFonts w:hint="eastAsia" w:ascii="Times New Roman" w:hAnsi="Times New Roman" w:eastAsia="方正仿宋简体" w:cs="方正仿宋简体"/>
          <w:b/>
          <w:bCs/>
          <w:color w:val="auto"/>
          <w:kern w:val="2"/>
          <w:sz w:val="32"/>
          <w:szCs w:val="32"/>
          <w:lang w:val="en-US" w:eastAsia="zh-CN"/>
        </w:rPr>
        <w:t>77.8%</w:t>
      </w:r>
      <w:r>
        <w:rPr>
          <w:rFonts w:hint="eastAsia" w:ascii="Times New Roman" w:hAnsi="Times New Roman" w:eastAsia="方正仿宋简体" w:cs="方正仿宋简体"/>
          <w:b/>
          <w:bCs/>
          <w:color w:val="auto"/>
          <w:kern w:val="2"/>
          <w:sz w:val="32"/>
          <w:szCs w:val="32"/>
        </w:rPr>
        <w:t>，</w:t>
      </w:r>
      <w:r>
        <w:rPr>
          <w:rFonts w:hint="eastAsia" w:ascii="Times New Roman" w:hAnsi="Times New Roman" w:eastAsia="方正仿宋简体" w:cs="方正仿宋简体"/>
          <w:b/>
          <w:bCs/>
          <w:color w:val="auto"/>
          <w:kern w:val="2"/>
          <w:sz w:val="32"/>
          <w:szCs w:val="32"/>
          <w:lang w:eastAsia="zh-CN"/>
        </w:rPr>
        <w:t>较上年同期</w:t>
      </w:r>
      <w:r>
        <w:rPr>
          <w:rFonts w:hint="eastAsia" w:ascii="Times New Roman" w:hAnsi="Times New Roman" w:eastAsia="方正仿宋简体" w:cs="方正仿宋简体"/>
          <w:b/>
          <w:bCs/>
          <w:color w:val="auto"/>
          <w:kern w:val="2"/>
          <w:sz w:val="32"/>
          <w:szCs w:val="32"/>
        </w:rPr>
        <w:t>的</w:t>
      </w:r>
      <w:r>
        <w:rPr>
          <w:rFonts w:hint="eastAsia" w:ascii="Times New Roman" w:hAnsi="Times New Roman" w:eastAsia="方正仿宋简体" w:cs="方正仿宋简体"/>
          <w:b/>
          <w:bCs/>
          <w:color w:val="auto"/>
          <w:kern w:val="2"/>
          <w:sz w:val="32"/>
          <w:szCs w:val="32"/>
          <w:lang w:val="en-US" w:eastAsia="zh-CN"/>
        </w:rPr>
        <w:t>79.08%减少</w:t>
      </w:r>
      <w:r>
        <w:rPr>
          <w:rFonts w:hint="eastAsia" w:ascii="Times New Roman" w:hAnsi="Times New Roman" w:eastAsia="方正仿宋简体" w:cs="方正仿宋简体"/>
          <w:b/>
          <w:bCs/>
          <w:color w:val="auto"/>
          <w:kern w:val="2"/>
          <w:sz w:val="32"/>
          <w:szCs w:val="32"/>
        </w:rPr>
        <w:t>了</w:t>
      </w:r>
      <w:r>
        <w:rPr>
          <w:rFonts w:hint="eastAsia" w:ascii="Times New Roman" w:hAnsi="Times New Roman" w:eastAsia="方正仿宋简体" w:cs="方正仿宋简体"/>
          <w:b/>
          <w:bCs/>
          <w:color w:val="auto"/>
          <w:kern w:val="2"/>
          <w:sz w:val="32"/>
          <w:szCs w:val="32"/>
          <w:lang w:val="en-US" w:eastAsia="zh-CN"/>
        </w:rPr>
        <w:t>1.28</w:t>
      </w:r>
      <w:r>
        <w:rPr>
          <w:rFonts w:hint="eastAsia" w:ascii="Times New Roman" w:hAnsi="Times New Roman" w:eastAsia="方正仿宋简体" w:cs="方正仿宋简体"/>
          <w:b/>
          <w:bCs/>
          <w:color w:val="auto"/>
          <w:kern w:val="2"/>
          <w:sz w:val="32"/>
          <w:szCs w:val="32"/>
        </w:rPr>
        <w:t>个</w:t>
      </w:r>
      <w:bookmarkStart w:id="0" w:name="_GoBack"/>
      <w:bookmarkEnd w:id="0"/>
      <w:r>
        <w:rPr>
          <w:rFonts w:hint="eastAsia" w:ascii="Times New Roman" w:hAnsi="Times New Roman" w:eastAsia="方正仿宋简体" w:cs="方正仿宋简体"/>
          <w:b/>
          <w:bCs/>
          <w:color w:val="auto"/>
          <w:kern w:val="2"/>
          <w:sz w:val="32"/>
          <w:szCs w:val="32"/>
        </w:rPr>
        <w:t>百分点。</w:t>
      </w:r>
    </w:p>
    <w:p>
      <w:pPr>
        <w:keepNext w:val="0"/>
        <w:keepLines w:val="0"/>
        <w:pageBreakBefore w:val="0"/>
        <w:numPr>
          <w:ilvl w:val="0"/>
          <w:numId w:val="1"/>
        </w:numPr>
        <w:kinsoku/>
        <w:wordWrap/>
        <w:overflowPunct/>
        <w:topLinePunct w:val="0"/>
        <w:bidi w:val="0"/>
        <w:snapToGrid w:val="0"/>
        <w:spacing w:line="600" w:lineRule="exact"/>
        <w:ind w:firstLine="643" w:firstLineChars="200"/>
        <w:rPr>
          <w:rFonts w:hint="eastAsia" w:ascii="Times New Roman" w:hAnsi="Times New Roman" w:eastAsia="方正黑体简体" w:cs="Times New Roman"/>
          <w:b/>
          <w:bCs/>
          <w:sz w:val="32"/>
          <w:szCs w:val="32"/>
          <w:lang w:val="en-US" w:eastAsia="zh-CN"/>
        </w:rPr>
      </w:pPr>
      <w:r>
        <w:rPr>
          <w:rFonts w:hint="eastAsia" w:ascii="Times New Roman" w:hAnsi="Times New Roman" w:eastAsia="方正黑体简体" w:cs="Times New Roman"/>
          <w:b/>
          <w:bCs/>
          <w:sz w:val="32"/>
          <w:szCs w:val="32"/>
          <w:lang w:val="en-US" w:eastAsia="zh-CN"/>
        </w:rPr>
        <w:t>2025年度内发生的重大事项及对公司的影响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方正仿宋简体"/>
          <w:b/>
          <w:bCs/>
          <w:color w:val="auto"/>
          <w:kern w:val="2"/>
          <w:sz w:val="32"/>
          <w:szCs w:val="32"/>
        </w:rPr>
      </w:pPr>
      <w:r>
        <w:rPr>
          <w:rFonts w:hint="eastAsia" w:ascii="Times New Roman" w:hAnsi="Times New Roman" w:eastAsia="方正仿宋简体" w:cs="方正仿宋简体"/>
          <w:b/>
          <w:bCs/>
          <w:sz w:val="32"/>
          <w:szCs w:val="32"/>
        </w:rPr>
        <w:t>山东公用置业集团有限公司</w:t>
      </w:r>
      <w:r>
        <w:rPr>
          <w:rFonts w:hint="eastAsia" w:ascii="Times New Roman" w:hAnsi="Times New Roman" w:eastAsia="方正仿宋简体" w:cs="方正仿宋简体"/>
          <w:b/>
          <w:bCs/>
          <w:sz w:val="32"/>
          <w:szCs w:val="32"/>
          <w:lang w:val="en-US" w:eastAsia="zh-CN"/>
        </w:rPr>
        <w:t>2025年度内未发生重大事项。</w:t>
      </w:r>
    </w:p>
    <w:sectPr>
      <w:footerReference r:id="rId3" w:type="default"/>
      <w:pgSz w:w="11906" w:h="16838"/>
      <w:pgMar w:top="2098"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FBD13"/>
    <w:multiLevelType w:val="singleLevel"/>
    <w:tmpl w:val="3A2FBD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NGYxNDlhOGMxM2M2NGQwNTVjMzllMGQ4ZGMyNjcifQ=="/>
  </w:docVars>
  <w:rsids>
    <w:rsidRoot w:val="28E8704B"/>
    <w:rsid w:val="00023E53"/>
    <w:rsid w:val="00064C10"/>
    <w:rsid w:val="0008486A"/>
    <w:rsid w:val="000B768B"/>
    <w:rsid w:val="000F4906"/>
    <w:rsid w:val="001048D2"/>
    <w:rsid w:val="001225CF"/>
    <w:rsid w:val="00136B6E"/>
    <w:rsid w:val="0016636E"/>
    <w:rsid w:val="00173818"/>
    <w:rsid w:val="001E70D3"/>
    <w:rsid w:val="001F0930"/>
    <w:rsid w:val="002659B0"/>
    <w:rsid w:val="0027474F"/>
    <w:rsid w:val="002F0D05"/>
    <w:rsid w:val="0033664A"/>
    <w:rsid w:val="00387CC5"/>
    <w:rsid w:val="003A2581"/>
    <w:rsid w:val="003B2746"/>
    <w:rsid w:val="003C0776"/>
    <w:rsid w:val="003F200B"/>
    <w:rsid w:val="0040651C"/>
    <w:rsid w:val="004B3BB3"/>
    <w:rsid w:val="004B51FE"/>
    <w:rsid w:val="004C19A7"/>
    <w:rsid w:val="004F2DF9"/>
    <w:rsid w:val="005304BC"/>
    <w:rsid w:val="00545BAB"/>
    <w:rsid w:val="00590DF4"/>
    <w:rsid w:val="005C6338"/>
    <w:rsid w:val="005D0127"/>
    <w:rsid w:val="00646654"/>
    <w:rsid w:val="00663457"/>
    <w:rsid w:val="006C787C"/>
    <w:rsid w:val="00707AFB"/>
    <w:rsid w:val="007534E3"/>
    <w:rsid w:val="00790D59"/>
    <w:rsid w:val="007B1BD4"/>
    <w:rsid w:val="007D5E77"/>
    <w:rsid w:val="00814BA3"/>
    <w:rsid w:val="008152B0"/>
    <w:rsid w:val="00843F2E"/>
    <w:rsid w:val="00883DD5"/>
    <w:rsid w:val="008A4D0D"/>
    <w:rsid w:val="008A6F95"/>
    <w:rsid w:val="00956D2F"/>
    <w:rsid w:val="009A5685"/>
    <w:rsid w:val="009D48DC"/>
    <w:rsid w:val="009E5784"/>
    <w:rsid w:val="00A45B31"/>
    <w:rsid w:val="00A87960"/>
    <w:rsid w:val="00A970EA"/>
    <w:rsid w:val="00B47D29"/>
    <w:rsid w:val="00B72AA9"/>
    <w:rsid w:val="00BA5853"/>
    <w:rsid w:val="00BB2C2E"/>
    <w:rsid w:val="00BC3422"/>
    <w:rsid w:val="00C34F1A"/>
    <w:rsid w:val="00C471A1"/>
    <w:rsid w:val="00C60935"/>
    <w:rsid w:val="00C65F09"/>
    <w:rsid w:val="00D153C1"/>
    <w:rsid w:val="00D2501B"/>
    <w:rsid w:val="00D33D8F"/>
    <w:rsid w:val="00D34D61"/>
    <w:rsid w:val="00D43CE6"/>
    <w:rsid w:val="00DA289F"/>
    <w:rsid w:val="00DB13BB"/>
    <w:rsid w:val="00E01818"/>
    <w:rsid w:val="00E0765F"/>
    <w:rsid w:val="00E21709"/>
    <w:rsid w:val="00E25793"/>
    <w:rsid w:val="00E60C18"/>
    <w:rsid w:val="00E6208D"/>
    <w:rsid w:val="00EC0809"/>
    <w:rsid w:val="00F53553"/>
    <w:rsid w:val="00FB38B4"/>
    <w:rsid w:val="01683DBE"/>
    <w:rsid w:val="019E5389"/>
    <w:rsid w:val="03D55799"/>
    <w:rsid w:val="04551A6B"/>
    <w:rsid w:val="04C07E5F"/>
    <w:rsid w:val="09E518F1"/>
    <w:rsid w:val="12174B85"/>
    <w:rsid w:val="1279335C"/>
    <w:rsid w:val="12A119E0"/>
    <w:rsid w:val="13626B4C"/>
    <w:rsid w:val="148733F6"/>
    <w:rsid w:val="181E77F0"/>
    <w:rsid w:val="19560A59"/>
    <w:rsid w:val="195A3691"/>
    <w:rsid w:val="1C496371"/>
    <w:rsid w:val="1F00492A"/>
    <w:rsid w:val="1FAA770E"/>
    <w:rsid w:val="1FC536D8"/>
    <w:rsid w:val="21785B44"/>
    <w:rsid w:val="227F1494"/>
    <w:rsid w:val="237D24D8"/>
    <w:rsid w:val="243948BB"/>
    <w:rsid w:val="24805784"/>
    <w:rsid w:val="25486BE3"/>
    <w:rsid w:val="26A93DBD"/>
    <w:rsid w:val="276045AE"/>
    <w:rsid w:val="27F03E2A"/>
    <w:rsid w:val="28E8704B"/>
    <w:rsid w:val="290C75C1"/>
    <w:rsid w:val="29D47C5C"/>
    <w:rsid w:val="2A174497"/>
    <w:rsid w:val="2A4822AF"/>
    <w:rsid w:val="2A691C72"/>
    <w:rsid w:val="2AA80EDF"/>
    <w:rsid w:val="2E8D617B"/>
    <w:rsid w:val="31505396"/>
    <w:rsid w:val="32777821"/>
    <w:rsid w:val="368948B1"/>
    <w:rsid w:val="39AE61CA"/>
    <w:rsid w:val="3DAC0150"/>
    <w:rsid w:val="3DB64D77"/>
    <w:rsid w:val="3E7762B4"/>
    <w:rsid w:val="419C0824"/>
    <w:rsid w:val="44244964"/>
    <w:rsid w:val="45AD6172"/>
    <w:rsid w:val="48286CA0"/>
    <w:rsid w:val="48653930"/>
    <w:rsid w:val="49A34571"/>
    <w:rsid w:val="4A2E2171"/>
    <w:rsid w:val="4B616B22"/>
    <w:rsid w:val="4BF9097F"/>
    <w:rsid w:val="4C891422"/>
    <w:rsid w:val="4CF828CC"/>
    <w:rsid w:val="4E1C79A3"/>
    <w:rsid w:val="4FDE04E2"/>
    <w:rsid w:val="52DF6C8B"/>
    <w:rsid w:val="536B2CB8"/>
    <w:rsid w:val="57404164"/>
    <w:rsid w:val="5AD277FB"/>
    <w:rsid w:val="5E145AF2"/>
    <w:rsid w:val="5F412942"/>
    <w:rsid w:val="5FA47421"/>
    <w:rsid w:val="602021FB"/>
    <w:rsid w:val="60785E58"/>
    <w:rsid w:val="642A1E25"/>
    <w:rsid w:val="66803D95"/>
    <w:rsid w:val="66EC3CFC"/>
    <w:rsid w:val="6A5519A2"/>
    <w:rsid w:val="6B28732C"/>
    <w:rsid w:val="6C305B70"/>
    <w:rsid w:val="6CDE381E"/>
    <w:rsid w:val="6D8A03D6"/>
    <w:rsid w:val="6D8C75E7"/>
    <w:rsid w:val="6FDC4B98"/>
    <w:rsid w:val="718F0FF7"/>
    <w:rsid w:val="73E459B1"/>
    <w:rsid w:val="74060167"/>
    <w:rsid w:val="74D51C3A"/>
    <w:rsid w:val="74E02F04"/>
    <w:rsid w:val="75D26FF0"/>
    <w:rsid w:val="7D0F6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semiHidden/>
    <w:qFormat/>
    <w:uiPriority w:val="0"/>
    <w:rPr>
      <w:rFonts w:asciiTheme="minorHAnsi" w:hAnsiTheme="minorHAnsi" w:eastAsiaTheme="minorEastAsia" w:cstheme="minorBidi"/>
      <w:kern w:val="2"/>
      <w:sz w:val="18"/>
      <w:szCs w:val="18"/>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font21"/>
    <w:basedOn w:val="6"/>
    <w:qFormat/>
    <w:uiPriority w:val="0"/>
    <w:rPr>
      <w:rFonts w:hint="default" w:ascii="Times New Roman" w:hAnsi="Times New Roman" w:cs="Times New Roman"/>
      <w:color w:val="000000"/>
      <w:sz w:val="22"/>
      <w:szCs w:val="22"/>
      <w:u w:val="none"/>
    </w:rPr>
  </w:style>
  <w:style w:type="character" w:customStyle="1" w:styleId="12">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1095</Words>
  <Characters>1355</Characters>
  <Lines>11</Lines>
  <Paragraphs>3</Paragraphs>
  <TotalTime>14</TotalTime>
  <ScaleCrop>false</ScaleCrop>
  <LinksUpToDate>false</LinksUpToDate>
  <CharactersWithSpaces>1374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2022-04-28T01:22:00Z</dcterms:created>
  <dc:creator>Mr.X</dc:creator>
  <cp:lastModifiedBy>张娜</cp:lastModifiedBy>
  <cp:lastPrinted>2022-04-28T02:25:00Z</cp:lastPrinted>
  <dcterms:modified xsi:type="dcterms:W3CDTF">2026-06-29T02:39:44Z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13314D0EABFC4B74ADFB40D24777FC05_13</vt:lpwstr>
  </property>
  <property fmtid="{D5CDD505-2E9C-101B-9397-08002B2CF9AE}" pid="4" name="commondata">
    <vt:lpwstr>eyJoZGlkIjoiMzIxYmMwMDJkYjZiMmFlYzdhY2YzYTliOWFhN2UxMzIifQ==</vt:lpwstr>
  </property>
  <property fmtid="{D5CDD505-2E9C-101B-9397-08002B2CF9AE}" pid="5" name="KSOTemplateDocerSaveRecord">
    <vt:lpwstr>eyJoZGlkIjoiYzgzZDE3YjdjMWRhMTJhYmNhNjIwMDE0ZjRiMDc0YWEiLCJ1c2VySWQiOiIzNDI0Nzc0MDgifQ==</vt:lpwstr>
  </property>
</Properties>
</file>