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5F7F50">
      <w:pPr>
        <w:jc w:val="center"/>
        <w:rPr>
          <w:rFonts w:ascii="Times New Roman" w:hAnsi="Times New Roman" w:eastAsia="方正小标宋简体"/>
          <w:b/>
          <w:bCs/>
          <w:sz w:val="44"/>
          <w:szCs w:val="44"/>
        </w:rPr>
      </w:pPr>
      <w:r>
        <w:rPr>
          <w:rFonts w:ascii="Times New Roman" w:hAnsi="Times New Roman" w:eastAsia="方正小标宋简体"/>
          <w:b/>
          <w:bCs/>
          <w:sz w:val="44"/>
          <w:szCs w:val="44"/>
        </w:rPr>
        <w:t>济宁公用市政园林集团有限公司</w:t>
      </w:r>
    </w:p>
    <w:p w14:paraId="52A7B3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ascii="Times New Roman" w:hAnsi="Times New Roman" w:eastAsia="方正小标宋简体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2025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年度财务等重大信息公开</w:t>
      </w:r>
    </w:p>
    <w:p w14:paraId="44896449">
      <w:pPr>
        <w:ind w:firstLine="883" w:firstLineChars="200"/>
        <w:rPr>
          <w:rFonts w:ascii="Times New Roman" w:hAnsi="Times New Roman" w:eastAsia="方正小标宋简体"/>
          <w:b/>
          <w:bCs/>
          <w:sz w:val="44"/>
          <w:szCs w:val="44"/>
        </w:rPr>
      </w:pPr>
    </w:p>
    <w:p w14:paraId="77261213">
      <w:pPr>
        <w:ind w:firstLine="643" w:firstLineChars="200"/>
        <w:rPr>
          <w:rFonts w:ascii="Times New Roman" w:hAnsi="Times New Roman" w:eastAsia="方正黑体简体"/>
          <w:b/>
          <w:bCs/>
          <w:szCs w:val="32"/>
        </w:rPr>
      </w:pPr>
      <w:r>
        <w:rPr>
          <w:rFonts w:ascii="Times New Roman" w:hAnsi="Times New Roman" w:eastAsia="方正黑体简体"/>
          <w:b/>
          <w:bCs/>
          <w:szCs w:val="32"/>
        </w:rPr>
        <w:t>一、公司基本情况</w:t>
      </w:r>
    </w:p>
    <w:p w14:paraId="6D0434E7">
      <w:pPr>
        <w:ind w:firstLine="643" w:firstLineChars="200"/>
        <w:rPr>
          <w:rFonts w:hint="eastAsia" w:ascii="Times New Roman" w:hAnsi="Times New Roman" w:eastAsia="方正楷体简体"/>
          <w:b/>
          <w:bCs/>
          <w:szCs w:val="32"/>
        </w:rPr>
      </w:pPr>
      <w:r>
        <w:rPr>
          <w:rFonts w:ascii="Times New Roman" w:hAnsi="Times New Roman" w:eastAsia="方正楷体简体"/>
          <w:b/>
          <w:bCs/>
          <w:szCs w:val="32"/>
        </w:rPr>
        <w:t>（一）基本信息</w:t>
      </w:r>
    </w:p>
    <w:p w14:paraId="17C8A79F">
      <w:pPr>
        <w:ind w:firstLine="643" w:firstLineChars="200"/>
        <w:rPr>
          <w:rFonts w:ascii="Times New Roman" w:hAnsi="Times New Roman"/>
          <w:b/>
          <w:bCs/>
          <w:szCs w:val="32"/>
        </w:rPr>
      </w:pPr>
      <w:r>
        <w:rPr>
          <w:rFonts w:ascii="Times New Roman" w:hAnsi="Times New Roman"/>
          <w:b/>
          <w:bCs/>
          <w:szCs w:val="32"/>
        </w:rPr>
        <w:t>1.企业名称：济宁公用市政园林集团有限公司</w:t>
      </w:r>
    </w:p>
    <w:p w14:paraId="2C1A84CE">
      <w:pPr>
        <w:ind w:firstLine="643" w:firstLineChars="200"/>
        <w:rPr>
          <w:rFonts w:ascii="Times New Roman" w:hAnsi="Times New Roman"/>
          <w:b/>
          <w:bCs/>
          <w:szCs w:val="32"/>
        </w:rPr>
      </w:pPr>
      <w:r>
        <w:rPr>
          <w:rFonts w:ascii="Times New Roman" w:hAnsi="Times New Roman"/>
          <w:b/>
          <w:bCs/>
          <w:szCs w:val="32"/>
        </w:rPr>
        <w:t>2.企业类型：其他有限责任公司</w:t>
      </w:r>
    </w:p>
    <w:p w14:paraId="5AF7672F">
      <w:pPr>
        <w:ind w:firstLine="643" w:firstLineChars="200"/>
        <w:rPr>
          <w:rFonts w:ascii="Times New Roman" w:hAnsi="Times New Roman"/>
          <w:b/>
          <w:bCs/>
          <w:szCs w:val="32"/>
        </w:rPr>
      </w:pPr>
      <w:r>
        <w:rPr>
          <w:rFonts w:ascii="Times New Roman" w:hAnsi="Times New Roman"/>
          <w:b/>
          <w:bCs/>
          <w:szCs w:val="32"/>
        </w:rPr>
        <w:t>3.成立时间：2021年09月08日</w:t>
      </w:r>
    </w:p>
    <w:p w14:paraId="3FC40BB2">
      <w:pPr>
        <w:ind w:firstLine="643" w:firstLineChars="200"/>
        <w:rPr>
          <w:rFonts w:ascii="Times New Roman" w:hAnsi="Times New Roman"/>
          <w:b/>
          <w:bCs/>
          <w:szCs w:val="32"/>
        </w:rPr>
      </w:pPr>
      <w:r>
        <w:rPr>
          <w:rFonts w:ascii="Times New Roman" w:hAnsi="Times New Roman"/>
          <w:b/>
          <w:bCs/>
          <w:szCs w:val="32"/>
        </w:rPr>
        <w:t>4.法定代表人：李春宁</w:t>
      </w:r>
      <w:bookmarkStart w:id="0" w:name="_GoBack"/>
      <w:bookmarkEnd w:id="0"/>
    </w:p>
    <w:p w14:paraId="6B676A72">
      <w:pPr>
        <w:ind w:firstLine="643" w:firstLineChars="200"/>
        <w:rPr>
          <w:rFonts w:ascii="Times New Roman" w:hAnsi="Times New Roman"/>
          <w:b/>
          <w:bCs/>
          <w:szCs w:val="32"/>
        </w:rPr>
      </w:pPr>
      <w:r>
        <w:rPr>
          <w:rFonts w:ascii="Times New Roman" w:hAnsi="Times New Roman"/>
          <w:b/>
          <w:bCs/>
          <w:szCs w:val="32"/>
        </w:rPr>
        <w:t>5.注册地址：济宁市任城区南张街道凤凰台植物园科研楼二楼</w:t>
      </w:r>
    </w:p>
    <w:p w14:paraId="643D3866">
      <w:pPr>
        <w:ind w:firstLine="643" w:firstLineChars="200"/>
        <w:rPr>
          <w:rFonts w:ascii="Times New Roman" w:hAnsi="Times New Roman"/>
          <w:b/>
          <w:bCs/>
          <w:szCs w:val="32"/>
        </w:rPr>
      </w:pPr>
      <w:r>
        <w:rPr>
          <w:rFonts w:ascii="Times New Roman" w:hAnsi="Times New Roman"/>
          <w:b/>
          <w:bCs/>
          <w:szCs w:val="32"/>
        </w:rPr>
        <w:t>6.经营范围：</w:t>
      </w:r>
    </w:p>
    <w:p w14:paraId="29CC7C6A">
      <w:pPr>
        <w:ind w:firstLine="643" w:firstLineChars="200"/>
        <w:rPr>
          <w:rFonts w:ascii="Times New Roman" w:hAnsi="Times New Roman"/>
          <w:b/>
          <w:bCs/>
          <w:szCs w:val="32"/>
        </w:rPr>
      </w:pPr>
      <w:r>
        <w:rPr>
          <w:rFonts w:ascii="Times New Roman" w:hAnsi="Times New Roman"/>
          <w:b/>
          <w:bCs/>
          <w:szCs w:val="32"/>
        </w:rPr>
        <w:t>一般项目：园林绿化工程施工；建筑材料销售；城市绿化管理；市政设施管理；专业设计服务；住房租赁；化肥销售；花卉种植；树木种植经营；自然生态系统保护管理；生态恢复及生态保护服务；劳务服务（不含劳务派遣）；建筑物清洁服务。（除依法须经批准的项目外，凭营业执照依法自主开展经营活动）</w:t>
      </w:r>
    </w:p>
    <w:p w14:paraId="28CE3657">
      <w:pPr>
        <w:ind w:firstLine="643" w:firstLineChars="200"/>
        <w:rPr>
          <w:rFonts w:hint="eastAsia" w:ascii="Times New Roman" w:hAnsi="Times New Roman"/>
          <w:b/>
          <w:bCs/>
          <w:szCs w:val="32"/>
        </w:rPr>
      </w:pPr>
      <w:r>
        <w:rPr>
          <w:rFonts w:ascii="Times New Roman" w:hAnsi="Times New Roman"/>
          <w:b/>
          <w:bCs/>
          <w:szCs w:val="32"/>
        </w:rPr>
        <w:t>许可项目：建设工程施工；城市生活垃圾经营性服务；农药零售；林木种子生产经营；建筑劳务分包；建设工程设计。（依法须经批准的项目，经相关部门批准后方可开展经营活动，具体经营项目以相关部门批准文件或许可证件为准）</w:t>
      </w:r>
    </w:p>
    <w:p w14:paraId="45D53201">
      <w:pPr>
        <w:ind w:firstLine="643" w:firstLineChars="200"/>
        <w:rPr>
          <w:rFonts w:hint="eastAsia" w:ascii="Times New Roman" w:hAnsi="Times New Roman" w:eastAsia="方正楷体简体"/>
          <w:b/>
          <w:bCs/>
          <w:szCs w:val="32"/>
        </w:rPr>
      </w:pPr>
      <w:r>
        <w:rPr>
          <w:rFonts w:hint="eastAsia" w:ascii="Times New Roman" w:hAnsi="Times New Roman" w:eastAsia="方正楷体简体"/>
          <w:b/>
          <w:bCs/>
          <w:szCs w:val="32"/>
        </w:rPr>
        <w:t>（二）公司简介</w:t>
      </w:r>
    </w:p>
    <w:p w14:paraId="35E490BF">
      <w:pPr>
        <w:ind w:firstLine="643" w:firstLineChars="200"/>
        <w:rPr>
          <w:rFonts w:hint="eastAsia" w:ascii="Times New Roman" w:hAnsi="Times New Roman"/>
          <w:b/>
          <w:bCs/>
          <w:szCs w:val="32"/>
        </w:rPr>
      </w:pPr>
      <w:r>
        <w:rPr>
          <w:rFonts w:hint="eastAsia" w:ascii="Times New Roman" w:hAnsi="Times New Roman"/>
          <w:b/>
          <w:bCs/>
          <w:szCs w:val="32"/>
        </w:rPr>
        <w:t>济宁公用市政园林集团有限公司是集绿地养护、市政园林、地产景观、环卫保洁于一体的综合性集团公司，拥有市政工程施工总承包贰级及垃圾清扫收集运输经营许可，业务覆盖园林绿化、市政工程、生态保护、生态恢复及劳务服务等全链条。</w:t>
      </w:r>
    </w:p>
    <w:p w14:paraId="47D3783B">
      <w:pPr>
        <w:ind w:firstLine="643" w:firstLineChars="200"/>
        <w:rPr>
          <w:rFonts w:hint="eastAsia" w:ascii="Times New Roman" w:hAnsi="Times New Roman"/>
          <w:b/>
          <w:bCs/>
          <w:szCs w:val="32"/>
        </w:rPr>
      </w:pPr>
      <w:r>
        <w:rPr>
          <w:rFonts w:hint="eastAsia" w:ascii="Times New Roman" w:hAnsi="Times New Roman"/>
          <w:b/>
          <w:bCs/>
          <w:szCs w:val="32"/>
        </w:rPr>
        <w:t>公司人才队伍素质过硬，持注册建造师、中高级职称等证书人员占比较高，专业结构合理，多次在济宁市“技能状元”职业技能大赛中斩获团体及个人奖项，公司2025年获第三届全市竞赛“优秀组织奖”。工程质量屡获认可，污水处理厂迁建项目获2022年度“济宁市园林优质工程”及2023年度山东省三等奖，内环高架蔡庄及杨柳立交绿化工程获2024年度山东省“园林优质工程”奖。科技创新成果显著，拥有多项国家实用新型专利及省级工法，研究成果获2024年度山东省建设科技创新成果竞赛二等奖。公司获评2024年度山东省建设科技与教育协会“先进单位”，主要负责人获“先进个人”，并受任城区住建局通报表扬。</w:t>
      </w:r>
    </w:p>
    <w:p w14:paraId="4FA6B0BD">
      <w:pPr>
        <w:ind w:firstLine="643" w:firstLineChars="200"/>
        <w:rPr>
          <w:rFonts w:hint="eastAsia" w:ascii="Times New Roman" w:hAnsi="Times New Roman"/>
          <w:b/>
          <w:bCs/>
          <w:szCs w:val="32"/>
        </w:rPr>
      </w:pPr>
      <w:r>
        <w:rPr>
          <w:rFonts w:hint="eastAsia" w:ascii="Times New Roman" w:hAnsi="Times New Roman"/>
          <w:b/>
          <w:bCs/>
          <w:szCs w:val="32"/>
        </w:rPr>
        <w:t>公司秉承“诚实守信、融合创新”理念，坚持规范管理、客户为本，依托专业高效团队，致力为客户高效完成各项建设任务。</w:t>
      </w:r>
    </w:p>
    <w:p w14:paraId="6E5AC66C">
      <w:pPr>
        <w:ind w:firstLine="643" w:firstLineChars="200"/>
        <w:rPr>
          <w:rFonts w:ascii="Times New Roman" w:hAnsi="Times New Roman" w:eastAsia="方正黑体简体"/>
          <w:b/>
          <w:bCs/>
          <w:szCs w:val="32"/>
        </w:rPr>
      </w:pPr>
      <w:r>
        <w:rPr>
          <w:rFonts w:ascii="Times New Roman" w:hAnsi="Times New Roman" w:eastAsia="方正黑体简体"/>
          <w:b/>
          <w:bCs/>
          <w:szCs w:val="32"/>
        </w:rPr>
        <w:t>二、</w:t>
      </w:r>
      <w:r>
        <w:rPr>
          <w:rFonts w:hint="eastAsia" w:ascii="Times New Roman" w:hAnsi="Times New Roman" w:eastAsia="方正黑体简体"/>
          <w:b/>
          <w:bCs/>
          <w:szCs w:val="32"/>
        </w:rPr>
        <w:t>主要会计数据和财务指标</w:t>
      </w:r>
    </w:p>
    <w:tbl>
      <w:tblPr>
        <w:tblStyle w:val="7"/>
        <w:tblW w:w="87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4"/>
        <w:gridCol w:w="3105"/>
        <w:gridCol w:w="2901"/>
      </w:tblGrid>
      <w:tr w14:paraId="71D196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1F5F5"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  <w:t>主要财务数据</w:t>
            </w:r>
          </w:p>
        </w:tc>
      </w:tr>
      <w:tr w14:paraId="289004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CACB1"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FAA7D">
            <w:pPr>
              <w:widowControl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32"/>
              </w:rPr>
            </w:pP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C0DE2"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  <w:t>单位：人民币万元</w:t>
            </w:r>
          </w:p>
        </w:tc>
      </w:tr>
      <w:tr w14:paraId="063AFB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B9354B"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  <w:t>项目</w:t>
            </w:r>
          </w:p>
        </w:tc>
        <w:tc>
          <w:tcPr>
            <w:tcW w:w="31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DC874A"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  <w:t>本期金额</w:t>
            </w:r>
          </w:p>
        </w:tc>
        <w:tc>
          <w:tcPr>
            <w:tcW w:w="29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2E5279"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  <w:t>去年同期</w:t>
            </w:r>
          </w:p>
        </w:tc>
      </w:tr>
      <w:tr w14:paraId="745947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7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B73436"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  <w:t>营业总收入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37ED9F"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  <w:t>2970.51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  <w:lang w:val="en-US" w:eastAsia="zh-CN"/>
              </w:rPr>
              <w:t xml:space="preserve"> </w:t>
            </w:r>
          </w:p>
        </w:tc>
        <w:tc>
          <w:tcPr>
            <w:tcW w:w="2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7FE54F"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  <w:t>3186.84</w:t>
            </w:r>
          </w:p>
        </w:tc>
      </w:tr>
      <w:tr w14:paraId="5B80C7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7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C4EF06"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  <w:t>营业总成本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29FEA1"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  <w:lang w:val="en-US" w:eastAsia="zh-CN"/>
              </w:rPr>
              <w:t>2741.41</w:t>
            </w:r>
          </w:p>
        </w:tc>
        <w:tc>
          <w:tcPr>
            <w:tcW w:w="2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B5493B"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  <w:lang w:val="en-US" w:eastAsia="zh-CN"/>
              </w:rPr>
              <w:t>2900.68</w:t>
            </w:r>
          </w:p>
        </w:tc>
      </w:tr>
      <w:tr w14:paraId="71D8AD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7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4C9D62"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  <w:t>利润总额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67BA1C"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  <w:t>229.10</w:t>
            </w:r>
          </w:p>
        </w:tc>
        <w:tc>
          <w:tcPr>
            <w:tcW w:w="2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CA7C91"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  <w:t>286.16</w:t>
            </w:r>
          </w:p>
        </w:tc>
      </w:tr>
      <w:tr w14:paraId="6D44B8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7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0D6AE9"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  <w:t>资产总额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129717"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  <w:t>4710.88</w:t>
            </w:r>
          </w:p>
        </w:tc>
        <w:tc>
          <w:tcPr>
            <w:tcW w:w="2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B156FD"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  <w:t>4720.08</w:t>
            </w:r>
          </w:p>
        </w:tc>
      </w:tr>
      <w:tr w14:paraId="6BE4CF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7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495F63"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  <w:t>负债总额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AFB2B3"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  <w:t>3596.53</w:t>
            </w:r>
          </w:p>
        </w:tc>
        <w:tc>
          <w:tcPr>
            <w:tcW w:w="2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EFC6D9"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  <w:t>3697.64</w:t>
            </w:r>
          </w:p>
        </w:tc>
      </w:tr>
      <w:tr w14:paraId="6DB3D8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7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01033B"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  <w:t>所有者权益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800B82"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  <w:t>1114.35</w:t>
            </w:r>
          </w:p>
        </w:tc>
        <w:tc>
          <w:tcPr>
            <w:tcW w:w="2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0C7A61"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32"/>
              </w:rPr>
              <w:t>1022.45</w:t>
            </w:r>
          </w:p>
        </w:tc>
      </w:tr>
    </w:tbl>
    <w:p w14:paraId="4D0519EC">
      <w:pPr>
        <w:ind w:firstLine="643" w:firstLineChars="200"/>
        <w:rPr>
          <w:rFonts w:ascii="Times New Roman" w:hAnsi="Times New Roman" w:eastAsia="方正黑体简体"/>
          <w:b/>
          <w:bCs/>
          <w:szCs w:val="32"/>
        </w:rPr>
      </w:pPr>
      <w:r>
        <w:rPr>
          <w:rFonts w:ascii="Times New Roman" w:hAnsi="Times New Roman" w:eastAsia="方正黑体简体"/>
          <w:b/>
          <w:bCs/>
          <w:szCs w:val="32"/>
        </w:rPr>
        <w:t>三、</w:t>
      </w:r>
      <w:r>
        <w:rPr>
          <w:rFonts w:hint="eastAsia" w:ascii="Times New Roman" w:hAnsi="Times New Roman" w:eastAsia="方正黑体简体"/>
          <w:b/>
          <w:bCs/>
          <w:szCs w:val="32"/>
        </w:rPr>
        <w:t>财务预算执行情况</w:t>
      </w:r>
    </w:p>
    <w:p w14:paraId="528F31A9">
      <w:pPr>
        <w:ind w:firstLine="643" w:firstLineChars="200"/>
        <w:rPr>
          <w:rFonts w:ascii="Times New Roman" w:hAnsi="Times New Roman"/>
          <w:b/>
          <w:bCs/>
          <w:szCs w:val="32"/>
        </w:rPr>
      </w:pPr>
      <w:r>
        <w:rPr>
          <w:rFonts w:hint="eastAsia" w:ascii="Times New Roman" w:hAnsi="Times New Roman"/>
          <w:b/>
          <w:bCs/>
          <w:szCs w:val="32"/>
        </w:rPr>
        <w:t>2025年度，公司累计营业收入</w:t>
      </w:r>
      <w:r>
        <w:rPr>
          <w:rFonts w:ascii="Times New Roman" w:hAnsi="Times New Roman"/>
          <w:b/>
          <w:bCs/>
          <w:szCs w:val="32"/>
        </w:rPr>
        <w:t>2970.51</w:t>
      </w:r>
      <w:r>
        <w:rPr>
          <w:rFonts w:hint="eastAsia" w:ascii="Times New Roman" w:hAnsi="Times New Roman"/>
          <w:b/>
          <w:bCs/>
          <w:szCs w:val="32"/>
        </w:rPr>
        <w:t>万元，年度预算收入为3070万元，预算完成率</w:t>
      </w:r>
      <w:r>
        <w:rPr>
          <w:rFonts w:ascii="Times New Roman" w:hAnsi="Times New Roman"/>
          <w:b/>
          <w:bCs/>
          <w:szCs w:val="32"/>
        </w:rPr>
        <w:t>96.76%</w:t>
      </w:r>
      <w:r>
        <w:rPr>
          <w:rFonts w:hint="eastAsia" w:ascii="Times New Roman" w:hAnsi="Times New Roman"/>
          <w:b/>
          <w:bCs/>
          <w:szCs w:val="32"/>
        </w:rPr>
        <w:t>，上半年累计营业成本及费用</w:t>
      </w:r>
      <w:r>
        <w:rPr>
          <w:rFonts w:hint="eastAsia" w:ascii="Times New Roman" w:hAnsi="Times New Roman"/>
          <w:b/>
          <w:bCs/>
          <w:szCs w:val="32"/>
          <w:lang w:val="en-US" w:eastAsia="zh-CN"/>
        </w:rPr>
        <w:t>2741.41</w:t>
      </w:r>
      <w:r>
        <w:rPr>
          <w:rFonts w:hint="eastAsia" w:ascii="Times New Roman" w:hAnsi="Times New Roman"/>
          <w:b/>
          <w:bCs/>
          <w:szCs w:val="32"/>
        </w:rPr>
        <w:t>万元，年度预算营业总成本2776.4万元，预算完成率</w:t>
      </w:r>
      <w:r>
        <w:rPr>
          <w:rFonts w:hint="eastAsia" w:ascii="Times New Roman" w:hAnsi="Times New Roman"/>
          <w:b/>
          <w:bCs/>
          <w:szCs w:val="32"/>
          <w:lang w:val="en-US" w:eastAsia="zh-CN"/>
        </w:rPr>
        <w:t>98.74</w:t>
      </w:r>
      <w:r>
        <w:rPr>
          <w:rFonts w:ascii="Times New Roman" w:hAnsi="Times New Roman"/>
          <w:b/>
          <w:bCs/>
          <w:szCs w:val="32"/>
        </w:rPr>
        <w:t>%</w:t>
      </w:r>
      <w:r>
        <w:rPr>
          <w:rFonts w:hint="eastAsia" w:ascii="Times New Roman" w:hAnsi="Times New Roman"/>
          <w:b/>
          <w:bCs/>
          <w:szCs w:val="32"/>
        </w:rPr>
        <w:t>，上半年度累计利润总额</w:t>
      </w:r>
      <w:r>
        <w:rPr>
          <w:rFonts w:ascii="Times New Roman" w:hAnsi="Times New Roman"/>
          <w:b/>
          <w:bCs/>
          <w:szCs w:val="32"/>
        </w:rPr>
        <w:t>229.10</w:t>
      </w:r>
      <w:r>
        <w:rPr>
          <w:rFonts w:hint="eastAsia" w:ascii="Times New Roman" w:hAnsi="Times New Roman"/>
          <w:b/>
          <w:bCs/>
          <w:szCs w:val="32"/>
        </w:rPr>
        <w:t>万元，年度预算目标293.6万元，预算完成率</w:t>
      </w:r>
      <w:r>
        <w:rPr>
          <w:rFonts w:ascii="Times New Roman" w:hAnsi="Times New Roman"/>
          <w:b/>
          <w:bCs/>
          <w:szCs w:val="32"/>
        </w:rPr>
        <w:t>78.03%</w:t>
      </w:r>
      <w:r>
        <w:rPr>
          <w:rFonts w:hint="eastAsia" w:ascii="Times New Roman" w:hAnsi="Times New Roman"/>
          <w:b/>
          <w:bCs/>
          <w:szCs w:val="32"/>
        </w:rPr>
        <w:t>。</w:t>
      </w:r>
    </w:p>
    <w:p w14:paraId="49C2A0B8">
      <w:pPr>
        <w:ind w:firstLine="643" w:firstLineChars="200"/>
        <w:rPr>
          <w:rFonts w:ascii="Times New Roman" w:hAnsi="Times New Roman" w:eastAsia="方正黑体简体"/>
          <w:b/>
          <w:bCs/>
          <w:szCs w:val="32"/>
        </w:rPr>
      </w:pPr>
      <w:r>
        <w:rPr>
          <w:rFonts w:ascii="Times New Roman" w:hAnsi="Times New Roman" w:eastAsia="方正黑体简体"/>
          <w:b/>
          <w:bCs/>
          <w:szCs w:val="32"/>
        </w:rPr>
        <w:t>四、</w:t>
      </w:r>
      <w:r>
        <w:rPr>
          <w:rFonts w:hint="eastAsia" w:ascii="Times New Roman" w:hAnsi="Times New Roman" w:eastAsia="方正黑体简体"/>
          <w:b/>
          <w:bCs/>
          <w:szCs w:val="32"/>
        </w:rPr>
        <w:t>年度内发生的重大事项及对公司的影响</w:t>
      </w:r>
    </w:p>
    <w:p w14:paraId="7C43AE11">
      <w:pPr>
        <w:ind w:firstLine="643" w:firstLineChars="200"/>
        <w:rPr>
          <w:rFonts w:hint="eastAsia" w:ascii="方正仿宋简体" w:hAnsi="方正仿宋简体" w:eastAsia="方正仿宋简体" w:cs="方正仿宋简体"/>
          <w:b/>
          <w:bCs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szCs w:val="32"/>
        </w:rPr>
        <w:t>无。</w:t>
      </w:r>
    </w:p>
    <w:sectPr>
      <w:footerReference r:id="rId5" w:type="default"/>
      <w:footerReference r:id="rId6" w:type="even"/>
      <w:pgSz w:w="11906" w:h="16838"/>
      <w:pgMar w:top="2098" w:right="1474" w:bottom="1985" w:left="1588" w:header="851" w:footer="1587" w:gutter="0"/>
      <w:pgNumType w:fmt="numberInDash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AA12AA8-D010-4CE2-98E9-43D9E94D4A3E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C3002E88-54BD-4A5E-96CF-78215ADEFAF5}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112269616"/>
    </w:sdtPr>
    <w:sdtEndPr>
      <w:rPr>
        <w:rFonts w:ascii="Times New Roman" w:hAnsi="Times New Roman"/>
        <w:sz w:val="28"/>
        <w:szCs w:val="28"/>
      </w:rPr>
    </w:sdtEndPr>
    <w:sdtContent>
      <w:p w14:paraId="2EB4CC7F">
        <w:pPr>
          <w:pStyle w:val="5"/>
          <w:ind w:right="640" w:rightChars="200"/>
          <w:jc w:val="right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  <w:lang w:val="zh-CN"/>
          </w:rPr>
          <w:t>-</w:t>
        </w:r>
        <w:r>
          <w:rPr>
            <w:rFonts w:ascii="Times New Roman" w:hAnsi="Times New Roman"/>
            <w:sz w:val="28"/>
            <w:szCs w:val="28"/>
          </w:rPr>
          <w:t xml:space="preserve"> 3 -</w:t>
        </w:r>
        <w:r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997458"/>
    </w:sdtPr>
    <w:sdtEndPr>
      <w:rPr>
        <w:rFonts w:ascii="Times New Roman" w:hAnsi="Times New Roman"/>
        <w:sz w:val="28"/>
        <w:szCs w:val="28"/>
      </w:rPr>
    </w:sdtEndPr>
    <w:sdtContent>
      <w:p w14:paraId="4B0CECDC">
        <w:pPr>
          <w:pStyle w:val="5"/>
          <w:ind w:firstLine="360" w:firstLineChars="200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  <w:lang w:val="zh-CN"/>
          </w:rPr>
          <w:t>-</w:t>
        </w:r>
        <w:r>
          <w:rPr>
            <w:rFonts w:ascii="Times New Roman" w:hAnsi="Times New Roman"/>
            <w:sz w:val="28"/>
            <w:szCs w:val="28"/>
          </w:rPr>
          <w:t xml:space="preserve"> 2 -</w:t>
        </w:r>
        <w:r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evenAndOddHeaders w:val="1"/>
  <w:drawingGridHorizontalSpacing w:val="160"/>
  <w:drawingGridVerticalSpacing w:val="435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FmYmFhZjgwMGYxNWRlMjUzN2Q3ZTI2MzcwNDNmOWQifQ=="/>
  </w:docVars>
  <w:rsids>
    <w:rsidRoot w:val="007B2992"/>
    <w:rsid w:val="0008339B"/>
    <w:rsid w:val="000960C1"/>
    <w:rsid w:val="00096982"/>
    <w:rsid w:val="00145542"/>
    <w:rsid w:val="001976A2"/>
    <w:rsid w:val="002A16E2"/>
    <w:rsid w:val="002E0436"/>
    <w:rsid w:val="002F604B"/>
    <w:rsid w:val="004C0954"/>
    <w:rsid w:val="00576BB2"/>
    <w:rsid w:val="00581070"/>
    <w:rsid w:val="005D5ED8"/>
    <w:rsid w:val="005E1328"/>
    <w:rsid w:val="005F3422"/>
    <w:rsid w:val="00634067"/>
    <w:rsid w:val="00644C70"/>
    <w:rsid w:val="00644D87"/>
    <w:rsid w:val="006C1585"/>
    <w:rsid w:val="006D16AB"/>
    <w:rsid w:val="007063C8"/>
    <w:rsid w:val="00770DC9"/>
    <w:rsid w:val="007B2992"/>
    <w:rsid w:val="00820753"/>
    <w:rsid w:val="009201E3"/>
    <w:rsid w:val="0092292A"/>
    <w:rsid w:val="0096750C"/>
    <w:rsid w:val="009A18B8"/>
    <w:rsid w:val="009E5D67"/>
    <w:rsid w:val="00A81D1D"/>
    <w:rsid w:val="00AF0F8B"/>
    <w:rsid w:val="00AF3BA1"/>
    <w:rsid w:val="00BD63EC"/>
    <w:rsid w:val="00CE05FC"/>
    <w:rsid w:val="00D11E6C"/>
    <w:rsid w:val="00D61590"/>
    <w:rsid w:val="00D73053"/>
    <w:rsid w:val="00F70587"/>
    <w:rsid w:val="00FB58B8"/>
    <w:rsid w:val="0274732E"/>
    <w:rsid w:val="16131936"/>
    <w:rsid w:val="494378B9"/>
    <w:rsid w:val="51AB0F0B"/>
    <w:rsid w:val="6144623F"/>
    <w:rsid w:val="67A92E77"/>
    <w:rsid w:val="7C886434"/>
    <w:rsid w:val="7F2B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00" w:lineRule="exact"/>
    </w:pPr>
    <w:rPr>
      <w:rFonts w:ascii="Calibri" w:hAnsi="Calibri" w:eastAsia="方正仿宋简体" w:cs="Times New Roman"/>
      <w:kern w:val="2"/>
      <w:sz w:val="32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spacing w:line="360" w:lineRule="auto"/>
      <w:ind w:firstLine="560"/>
    </w:pPr>
    <w:rPr>
      <w:sz w:val="28"/>
      <w:szCs w:val="28"/>
    </w:rPr>
  </w:style>
  <w:style w:type="paragraph" w:styleId="3">
    <w:name w:val="Body Text"/>
    <w:basedOn w:val="1"/>
    <w:link w:val="12"/>
    <w:autoRedefine/>
    <w:qFormat/>
    <w:uiPriority w:val="1"/>
    <w:pPr>
      <w:autoSpaceDE w:val="0"/>
      <w:autoSpaceDN w:val="0"/>
      <w:spacing w:line="240" w:lineRule="auto"/>
    </w:pPr>
    <w:rPr>
      <w:rFonts w:ascii="宋体" w:hAnsi="宋体" w:eastAsia="宋体" w:cs="宋体"/>
      <w:kern w:val="0"/>
      <w:szCs w:val="32"/>
      <w:lang w:val="zh-CN" w:bidi="zh-CN"/>
    </w:rPr>
  </w:style>
  <w:style w:type="paragraph" w:styleId="4">
    <w:name w:val="Balloon Text"/>
    <w:basedOn w:val="1"/>
    <w:link w:val="13"/>
    <w:autoRedefine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5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6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8">
    <w:name w:val="Table Grid"/>
    <w:basedOn w:val="7"/>
    <w:autoRedefine/>
    <w:qFormat/>
    <w:uiPriority w:val="59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6"/>
    <w:autoRedefine/>
    <w:qFormat/>
    <w:uiPriority w:val="99"/>
    <w:rPr>
      <w:rFonts w:eastAsia="方正仿宋简体"/>
      <w:kern w:val="2"/>
      <w:sz w:val="18"/>
      <w:szCs w:val="18"/>
    </w:rPr>
  </w:style>
  <w:style w:type="character" w:customStyle="1" w:styleId="11">
    <w:name w:val="页脚 Char"/>
    <w:basedOn w:val="9"/>
    <w:link w:val="5"/>
    <w:autoRedefine/>
    <w:qFormat/>
    <w:uiPriority w:val="99"/>
    <w:rPr>
      <w:rFonts w:eastAsia="方正仿宋简体"/>
      <w:kern w:val="2"/>
      <w:sz w:val="18"/>
      <w:szCs w:val="18"/>
    </w:rPr>
  </w:style>
  <w:style w:type="character" w:customStyle="1" w:styleId="12">
    <w:name w:val="正文文本 Char"/>
    <w:basedOn w:val="9"/>
    <w:link w:val="3"/>
    <w:autoRedefine/>
    <w:qFormat/>
    <w:uiPriority w:val="1"/>
    <w:rPr>
      <w:rFonts w:ascii="宋体" w:hAnsi="宋体" w:cs="宋体"/>
      <w:sz w:val="32"/>
      <w:szCs w:val="32"/>
      <w:lang w:val="zh-CN" w:bidi="zh-CN"/>
    </w:rPr>
  </w:style>
  <w:style w:type="character" w:customStyle="1" w:styleId="13">
    <w:name w:val="批注框文本 Char"/>
    <w:basedOn w:val="9"/>
    <w:link w:val="4"/>
    <w:autoRedefine/>
    <w:semiHidden/>
    <w:qFormat/>
    <w:uiPriority w:val="99"/>
    <w:rPr>
      <w:rFonts w:eastAsia="方正仿宋简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1016</Words>
  <Characters>1165</Characters>
  <Lines>8</Lines>
  <Paragraphs>2</Paragraphs>
  <TotalTime>0</TotalTime>
  <ScaleCrop>false</ScaleCrop>
  <LinksUpToDate>false</LinksUpToDate>
  <CharactersWithSpaces>1166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2025-04-25T08:56:00Z</dcterms:created>
  <dc:creator>aaa</dc:creator>
  <cp:lastModifiedBy>王海鹏</cp:lastModifiedBy>
  <cp:lastPrinted>2025-08-18T01:30:00Z</cp:lastPrinted>
  <dcterms:modified xsi:type="dcterms:W3CDTF">2026-06-26T09:42:06Z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eyJoZGlkIjoiYzgzZDE3YjdjMWRhMTJhYmNhNjIwMDE0ZjRiMDc0YWEiLCJ1c2VySWQiOiIzNDI0Nzc0MDgifQ==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97AB2F79D06142F09F977A3C2AE8CCC1_13</vt:lpwstr>
  </property>
</Properties>
</file>