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hint="default" w:ascii="Times New Roman" w:hAnsi="Times New Roman" w:eastAsia="方正小标宋简体" w:cs="Times New Roman"/>
          <w:b/>
          <w:bCs/>
          <w:sz w:val="44"/>
          <w:szCs w:val="44"/>
        </w:rPr>
      </w:pPr>
      <w:r>
        <w:rPr>
          <w:rFonts w:hint="default" w:ascii="Times New Roman" w:hAnsi="Times New Roman" w:eastAsia="方正小标宋简体" w:cs="Times New Roman"/>
          <w:b/>
          <w:bCs/>
          <w:sz w:val="44"/>
          <w:szCs w:val="44"/>
        </w:rPr>
        <w:t>山东公用工程管理有限公司</w:t>
      </w:r>
    </w:p>
    <w:p>
      <w:pPr>
        <w:spacing w:line="600" w:lineRule="exact"/>
        <w:jc w:val="center"/>
        <w:rPr>
          <w:rFonts w:hint="default" w:ascii="Times New Roman" w:hAnsi="Times New Roman" w:eastAsia="方正小标宋简体" w:cs="Times New Roman"/>
          <w:b/>
          <w:bCs/>
          <w:sz w:val="44"/>
          <w:szCs w:val="44"/>
        </w:rPr>
      </w:pPr>
      <w:r>
        <w:rPr>
          <w:rFonts w:hint="default" w:ascii="Times New Roman" w:hAnsi="Times New Roman" w:eastAsia="方正小标宋简体" w:cs="Times New Roman"/>
          <w:b/>
          <w:bCs/>
          <w:sz w:val="44"/>
          <w:szCs w:val="44"/>
        </w:rPr>
        <w:t>202</w:t>
      </w:r>
      <w:r>
        <w:rPr>
          <w:rFonts w:hint="default" w:ascii="Times New Roman" w:hAnsi="Times New Roman" w:eastAsia="方正小标宋简体" w:cs="Times New Roman"/>
          <w:b/>
          <w:bCs/>
          <w:sz w:val="44"/>
          <w:szCs w:val="44"/>
          <w:lang w:val="en-US" w:eastAsia="zh-CN"/>
        </w:rPr>
        <w:t>5</w:t>
      </w:r>
      <w:r>
        <w:rPr>
          <w:rFonts w:hint="default" w:ascii="Times New Roman" w:hAnsi="Times New Roman" w:eastAsia="方正小标宋简体" w:cs="Times New Roman"/>
          <w:b/>
          <w:bCs/>
          <w:sz w:val="44"/>
          <w:szCs w:val="44"/>
        </w:rPr>
        <w:t>年度财务等重大信息公开</w:t>
      </w:r>
    </w:p>
    <w:p>
      <w:pPr>
        <w:spacing w:line="600" w:lineRule="exact"/>
        <w:ind w:firstLine="640" w:firstLineChars="200"/>
        <w:jc w:val="center"/>
        <w:rPr>
          <w:rFonts w:hint="default" w:ascii="Times New Roman" w:hAnsi="Times New Roman" w:eastAsia="方正黑体简体" w:cs="Times New Roman"/>
          <w:sz w:val="32"/>
          <w:szCs w:val="32"/>
        </w:rPr>
      </w:pPr>
    </w:p>
    <w:p>
      <w:pPr>
        <w:spacing w:line="600" w:lineRule="exact"/>
        <w:ind w:firstLine="643" w:firstLineChars="200"/>
        <w:rPr>
          <w:rFonts w:hint="default" w:ascii="Times New Roman" w:hAnsi="Times New Roman" w:eastAsia="方正仿宋简体" w:cs="Times New Roman"/>
          <w:b/>
          <w:bCs/>
          <w:color w:val="000000"/>
          <w:sz w:val="32"/>
          <w:szCs w:val="32"/>
        </w:rPr>
      </w:pPr>
      <w:r>
        <w:rPr>
          <w:rFonts w:hint="default" w:ascii="Times New Roman" w:hAnsi="Times New Roman" w:eastAsia="方正黑体简体" w:cs="Times New Roman"/>
          <w:b/>
          <w:bCs/>
          <w:sz w:val="32"/>
          <w:szCs w:val="32"/>
        </w:rPr>
        <w:t>一、公司基本情况</w:t>
      </w:r>
    </w:p>
    <w:p>
      <w:pPr>
        <w:pStyle w:val="7"/>
        <w:tabs>
          <w:tab w:val="left" w:pos="1555"/>
        </w:tabs>
        <w:spacing w:line="600" w:lineRule="exact"/>
        <w:ind w:firstLine="643" w:firstLineChars="200"/>
        <w:rPr>
          <w:rFonts w:hint="default" w:ascii="Times New Roman" w:hAnsi="Times New Roman" w:eastAsia="方正仿宋简体" w:cs="Times New Roman"/>
          <w:b/>
          <w:bCs/>
          <w:color w:val="000000"/>
          <w:sz w:val="32"/>
          <w:szCs w:val="32"/>
          <w:lang w:val="en-US" w:eastAsia="zh-CN"/>
        </w:rPr>
      </w:pPr>
      <w:r>
        <w:rPr>
          <w:rFonts w:hint="default" w:ascii="Times New Roman" w:hAnsi="Times New Roman" w:eastAsia="方正楷体简体" w:cs="Times New Roman"/>
          <w:b/>
          <w:bCs/>
          <w:sz w:val="32"/>
          <w:szCs w:val="32"/>
          <w:lang w:val="en-US"/>
        </w:rPr>
        <w:t>（一）基本信息</w:t>
      </w:r>
    </w:p>
    <w:p>
      <w:pPr>
        <w:pStyle w:val="7"/>
        <w:tabs>
          <w:tab w:val="left" w:pos="1555"/>
        </w:tabs>
        <w:spacing w:line="560" w:lineRule="exact"/>
        <w:ind w:firstLine="643" w:firstLineChars="200"/>
        <w:rPr>
          <w:rFonts w:hint="default" w:ascii="Times New Roman" w:hAnsi="Times New Roman" w:eastAsia="方正仿宋简体" w:cs="Times New Roman"/>
          <w:b/>
          <w:bCs/>
          <w:color w:val="000000"/>
          <w:sz w:val="32"/>
          <w:szCs w:val="32"/>
          <w:lang w:val="en-US" w:eastAsia="zh-CN"/>
        </w:rPr>
      </w:pPr>
      <w:r>
        <w:rPr>
          <w:rFonts w:hint="default" w:ascii="Times New Roman" w:hAnsi="Times New Roman" w:eastAsia="方正仿宋简体" w:cs="Times New Roman"/>
          <w:b/>
          <w:bCs/>
          <w:color w:val="000000"/>
          <w:sz w:val="32"/>
          <w:szCs w:val="32"/>
          <w:lang w:val="en-US" w:eastAsia="zh-CN"/>
        </w:rPr>
        <w:t>公司名称：山东公用工程管理有限公司</w:t>
      </w:r>
    </w:p>
    <w:p>
      <w:pPr>
        <w:pStyle w:val="7"/>
        <w:tabs>
          <w:tab w:val="left" w:pos="1555"/>
        </w:tabs>
        <w:spacing w:line="560" w:lineRule="exact"/>
        <w:ind w:firstLine="643" w:firstLineChars="200"/>
        <w:rPr>
          <w:rFonts w:hint="default" w:ascii="Times New Roman" w:hAnsi="Times New Roman" w:eastAsia="方正仿宋简体" w:cs="Times New Roman"/>
          <w:b/>
          <w:bCs/>
          <w:color w:val="000000"/>
          <w:sz w:val="32"/>
          <w:szCs w:val="32"/>
          <w:lang w:val="en-US" w:eastAsia="zh-CN"/>
        </w:rPr>
      </w:pPr>
      <w:r>
        <w:rPr>
          <w:rFonts w:hint="default" w:ascii="Times New Roman" w:hAnsi="Times New Roman" w:eastAsia="方正仿宋简体" w:cs="Times New Roman"/>
          <w:b/>
          <w:bCs/>
          <w:color w:val="000000"/>
          <w:sz w:val="32"/>
          <w:szCs w:val="32"/>
          <w:lang w:val="en-US" w:eastAsia="zh-CN"/>
        </w:rPr>
        <w:t>类    型：有限责任公司(非自然人投资或控股的法人独资)</w:t>
      </w:r>
    </w:p>
    <w:p>
      <w:pPr>
        <w:pStyle w:val="7"/>
        <w:tabs>
          <w:tab w:val="left" w:pos="1555"/>
        </w:tabs>
        <w:spacing w:line="560" w:lineRule="exact"/>
        <w:ind w:firstLine="643" w:firstLineChars="200"/>
        <w:rPr>
          <w:rFonts w:hint="default" w:ascii="Times New Roman" w:hAnsi="Times New Roman" w:eastAsia="方正仿宋简体" w:cs="Times New Roman"/>
          <w:b/>
          <w:bCs/>
          <w:color w:val="000000"/>
          <w:sz w:val="32"/>
          <w:szCs w:val="32"/>
          <w:lang w:val="en-US" w:eastAsia="zh-CN"/>
        </w:rPr>
      </w:pPr>
      <w:r>
        <w:rPr>
          <w:rFonts w:hint="default" w:ascii="Times New Roman" w:hAnsi="Times New Roman" w:eastAsia="方正仿宋简体" w:cs="Times New Roman"/>
          <w:b/>
          <w:bCs/>
          <w:color w:val="000000"/>
          <w:sz w:val="32"/>
          <w:szCs w:val="32"/>
          <w:lang w:val="en-US" w:eastAsia="zh-CN"/>
        </w:rPr>
        <w:t>法定代表人：张羽</w:t>
      </w:r>
    </w:p>
    <w:p>
      <w:pPr>
        <w:pStyle w:val="7"/>
        <w:tabs>
          <w:tab w:val="left" w:pos="1555"/>
        </w:tabs>
        <w:spacing w:line="560" w:lineRule="exact"/>
        <w:ind w:firstLine="643" w:firstLineChars="200"/>
        <w:rPr>
          <w:rFonts w:hint="default" w:ascii="Times New Roman" w:hAnsi="Times New Roman" w:eastAsia="方正仿宋简体" w:cs="Times New Roman"/>
          <w:b/>
          <w:bCs/>
          <w:color w:val="000000"/>
          <w:sz w:val="32"/>
          <w:szCs w:val="32"/>
          <w:lang w:val="en-US" w:eastAsia="zh-CN"/>
        </w:rPr>
      </w:pPr>
      <w:r>
        <w:rPr>
          <w:rFonts w:hint="default" w:ascii="Times New Roman" w:hAnsi="Times New Roman" w:eastAsia="方正仿宋简体" w:cs="Times New Roman"/>
          <w:b/>
          <w:bCs/>
          <w:color w:val="000000"/>
          <w:sz w:val="32"/>
          <w:szCs w:val="32"/>
          <w:lang w:val="en-US" w:eastAsia="zh-CN"/>
        </w:rPr>
        <w:t>注册资金：伍佰万元整</w:t>
      </w:r>
    </w:p>
    <w:p>
      <w:pPr>
        <w:pStyle w:val="7"/>
        <w:tabs>
          <w:tab w:val="left" w:pos="1555"/>
        </w:tabs>
        <w:spacing w:line="560" w:lineRule="exact"/>
        <w:ind w:firstLine="643" w:firstLineChars="200"/>
        <w:rPr>
          <w:rFonts w:hint="default" w:ascii="Times New Roman" w:hAnsi="Times New Roman" w:eastAsia="方正仿宋简体" w:cs="Times New Roman"/>
          <w:b/>
          <w:bCs/>
          <w:color w:val="000000"/>
          <w:sz w:val="32"/>
          <w:szCs w:val="32"/>
          <w:lang w:val="en-US" w:eastAsia="zh-CN"/>
        </w:rPr>
      </w:pPr>
      <w:r>
        <w:rPr>
          <w:rFonts w:hint="default" w:ascii="Times New Roman" w:hAnsi="Times New Roman" w:eastAsia="方正仿宋简体" w:cs="Times New Roman"/>
          <w:b/>
          <w:bCs/>
          <w:color w:val="000000"/>
          <w:sz w:val="32"/>
          <w:szCs w:val="32"/>
          <w:lang w:val="en-US" w:eastAsia="zh-CN"/>
        </w:rPr>
        <w:t>注册地址：山东省济宁市任城区仙营街道共青团路14号健身广场综合楼12楼</w:t>
      </w:r>
    </w:p>
    <w:p>
      <w:pPr>
        <w:pStyle w:val="7"/>
        <w:tabs>
          <w:tab w:val="left" w:pos="1555"/>
        </w:tabs>
        <w:spacing w:line="600" w:lineRule="exact"/>
        <w:ind w:firstLine="643" w:firstLineChars="200"/>
        <w:rPr>
          <w:rFonts w:hint="default" w:ascii="Times New Roman" w:hAnsi="Times New Roman" w:eastAsia="方正仿宋简体" w:cs="Times New Roman"/>
          <w:b/>
          <w:bCs/>
          <w:color w:val="000000"/>
          <w:sz w:val="32"/>
          <w:szCs w:val="32"/>
          <w:lang w:val="en-US" w:eastAsia="zh-CN"/>
        </w:rPr>
      </w:pPr>
      <w:r>
        <w:rPr>
          <w:rFonts w:hint="default" w:ascii="Times New Roman" w:hAnsi="Times New Roman" w:eastAsia="方正仿宋简体" w:cs="Times New Roman"/>
          <w:b/>
          <w:bCs/>
          <w:color w:val="000000"/>
          <w:sz w:val="32"/>
          <w:szCs w:val="32"/>
          <w:lang w:val="en-US" w:eastAsia="zh-CN"/>
        </w:rPr>
        <w:t>经营范围：一般项目：工程管理服务；人工智能硬件销售；工业设计服务；市政经营范围设施管理；装卸搬运；园林绿化工程施工；土石方工程施工；工程和技术研究和试验发展；劳务服务 (不含劳务派遣)；信息咨询服务(不含许可类信息咨询服务) ；物业管理；建筑材料销售；电气设备销售；企业管理咨询；工程造价咨询业务；招投标代理服务；对外承包工程。(除依法须经批准的项目外，凭营业执照依法自主开展经营活动)。许可项目：建设工程设计：建设工程施工；住宅室内装饰装修；建设工程勘察；测绘服务。(依法须经批准的项目，经相关部门批准后方可开展经营活动，具体经营项目以相关部门批准文件或许可证件为准)。</w:t>
      </w:r>
    </w:p>
    <w:p>
      <w:pPr>
        <w:pStyle w:val="7"/>
        <w:tabs>
          <w:tab w:val="left" w:pos="1555"/>
        </w:tabs>
        <w:spacing w:line="600" w:lineRule="exact"/>
        <w:ind w:firstLine="643" w:firstLineChars="200"/>
        <w:rPr>
          <w:rFonts w:hint="default" w:ascii="Times New Roman" w:hAnsi="Times New Roman" w:eastAsia="方正楷体简体" w:cs="Times New Roman"/>
          <w:b/>
          <w:bCs/>
          <w:color w:val="000000"/>
          <w:sz w:val="32"/>
          <w:szCs w:val="32"/>
          <w:lang w:val="en-US" w:eastAsia="zh-CN"/>
        </w:rPr>
      </w:pPr>
      <w:r>
        <w:rPr>
          <w:rFonts w:hint="default" w:ascii="Times New Roman" w:hAnsi="Times New Roman" w:eastAsia="方正楷体简体" w:cs="Times New Roman"/>
          <w:b/>
          <w:bCs/>
          <w:sz w:val="32"/>
          <w:szCs w:val="32"/>
          <w:lang w:val="en-US"/>
        </w:rPr>
        <w:t>（</w:t>
      </w:r>
      <w:r>
        <w:rPr>
          <w:rFonts w:hint="default" w:ascii="Times New Roman" w:hAnsi="Times New Roman" w:eastAsia="方正楷体简体" w:cs="Times New Roman"/>
          <w:b/>
          <w:bCs/>
          <w:sz w:val="32"/>
          <w:szCs w:val="32"/>
          <w:lang w:val="en-US" w:eastAsia="zh-CN"/>
        </w:rPr>
        <w:t>二</w:t>
      </w:r>
      <w:r>
        <w:rPr>
          <w:rFonts w:hint="default" w:ascii="Times New Roman" w:hAnsi="Times New Roman" w:eastAsia="方正楷体简体" w:cs="Times New Roman"/>
          <w:b/>
          <w:bCs/>
          <w:sz w:val="32"/>
          <w:szCs w:val="32"/>
          <w:lang w:val="en-US"/>
        </w:rPr>
        <w:t>）</w:t>
      </w:r>
      <w:r>
        <w:rPr>
          <w:rFonts w:hint="default" w:ascii="Times New Roman" w:hAnsi="Times New Roman" w:eastAsia="方正楷体简体" w:cs="Times New Roman"/>
          <w:b/>
          <w:bCs/>
          <w:sz w:val="32"/>
          <w:szCs w:val="32"/>
          <w:lang w:val="en-US" w:eastAsia="zh-CN"/>
        </w:rPr>
        <w:t>公司简介</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bCs/>
          <w:color w:val="000000"/>
          <w:sz w:val="32"/>
          <w:szCs w:val="32"/>
          <w:lang w:val="en-US" w:eastAsia="zh-CN"/>
        </w:rPr>
      </w:pPr>
      <w:r>
        <w:rPr>
          <w:rFonts w:hint="default" w:ascii="Times New Roman" w:hAnsi="Times New Roman" w:eastAsia="方正仿宋简体" w:cs="Times New Roman"/>
          <w:b/>
          <w:bCs/>
          <w:color w:val="000000"/>
          <w:sz w:val="32"/>
          <w:szCs w:val="32"/>
          <w:lang w:val="en-US" w:eastAsia="zh-CN"/>
        </w:rPr>
        <w:t>山东公用工程管理有限公司成立于2022年，注册资本500万元，由山东公用水利发展集团有限公司全资出资，是一家专注于水利工程管理、运行维护、专业技术服务的规范化企业。</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简体" w:cs="Times New Roman"/>
          <w:b/>
          <w:bCs/>
          <w:color w:val="000000"/>
          <w:sz w:val="32"/>
          <w:szCs w:val="32"/>
          <w:lang w:val="en-US" w:eastAsia="zh-CN"/>
        </w:rPr>
      </w:pPr>
      <w:r>
        <w:rPr>
          <w:rFonts w:hint="default" w:ascii="Times New Roman" w:hAnsi="Times New Roman" w:eastAsia="方正仿宋简体" w:cs="Times New Roman"/>
          <w:b/>
          <w:bCs/>
          <w:color w:val="000000"/>
          <w:sz w:val="32"/>
          <w:szCs w:val="32"/>
          <w:lang w:val="en-US" w:eastAsia="zh-CN"/>
        </w:rPr>
        <w:t>公司自成立以来，始终把标准化、体系化建设放在核心位置，</w:t>
      </w:r>
      <w:r>
        <w:rPr>
          <w:rFonts w:hint="default" w:ascii="Times New Roman" w:hAnsi="Times New Roman" w:eastAsia="方正仿宋简体" w:cs="Times New Roman"/>
          <w:b/>
          <w:bCs/>
          <w:color w:val="000000"/>
          <w:sz w:val="32"/>
          <w:szCs w:val="32"/>
        </w:rPr>
        <w:t>2023年通过了ISO90001质量管理体系、ISO14001环境管理体系ISO45001职业健康安全管理体系认证</w:t>
      </w:r>
      <w:r>
        <w:rPr>
          <w:rFonts w:hint="default" w:ascii="Times New Roman" w:hAnsi="Times New Roman" w:eastAsia="方正仿宋简体" w:cs="Times New Roman"/>
          <w:b/>
          <w:bCs/>
          <w:color w:val="000000"/>
          <w:sz w:val="32"/>
          <w:szCs w:val="32"/>
          <w:lang w:eastAsia="zh-CN"/>
        </w:rPr>
        <w:t>，</w:t>
      </w:r>
      <w:r>
        <w:rPr>
          <w:rFonts w:hint="default" w:ascii="Times New Roman" w:hAnsi="Times New Roman" w:eastAsia="方正仿宋简体" w:cs="Times New Roman"/>
          <w:b/>
          <w:bCs/>
          <w:color w:val="000000"/>
          <w:sz w:val="32"/>
          <w:szCs w:val="32"/>
          <w:lang w:val="en-US" w:eastAsia="zh-CN"/>
        </w:rPr>
        <w:t>实现了质量、环境、职业健康标准化管理。2024年，公司成功通过水利安全生产标准化三级单位评审，安全管理更加规范、过程管控更加严格、风险防控更加有效，为各项业务稳定运行奠定了坚实基础。</w:t>
      </w:r>
    </w:p>
    <w:p>
      <w:pPr>
        <w:spacing w:line="600" w:lineRule="exact"/>
        <w:ind w:firstLine="643" w:firstLineChars="200"/>
        <w:rPr>
          <w:rFonts w:hint="default" w:ascii="Times New Roman" w:hAnsi="Times New Roman" w:eastAsia="方正仿宋简体" w:cs="Times New Roman"/>
          <w:b/>
          <w:bCs/>
          <w:color w:val="000000"/>
          <w:sz w:val="32"/>
          <w:szCs w:val="32"/>
        </w:rPr>
      </w:pPr>
      <w:r>
        <w:rPr>
          <w:rFonts w:hint="default" w:ascii="Times New Roman" w:hAnsi="Times New Roman" w:eastAsia="方正仿宋简体" w:cs="Times New Roman"/>
          <w:b/>
          <w:bCs/>
          <w:color w:val="000000"/>
          <w:sz w:val="32"/>
          <w:szCs w:val="32"/>
        </w:rPr>
        <w:t>公司主营业务为工程管理、运行管理服务、</w:t>
      </w:r>
      <w:r>
        <w:rPr>
          <w:rFonts w:hint="default" w:ascii="Times New Roman" w:hAnsi="Times New Roman" w:eastAsia="方正仿宋简体" w:cs="Times New Roman"/>
          <w:b/>
          <w:bCs/>
          <w:color w:val="000000"/>
          <w:sz w:val="32"/>
          <w:szCs w:val="32"/>
          <w:lang w:val="en-US" w:eastAsia="zh-CN"/>
        </w:rPr>
        <w:t>企业管理咨询、工程造价咨询业务、招投标代理服务</w:t>
      </w:r>
      <w:r>
        <w:rPr>
          <w:rFonts w:hint="default" w:ascii="Times New Roman" w:hAnsi="Times New Roman" w:eastAsia="方正仿宋简体" w:cs="Times New Roman"/>
          <w:b/>
          <w:bCs/>
          <w:color w:val="000000"/>
          <w:sz w:val="32"/>
          <w:szCs w:val="32"/>
        </w:rPr>
        <w:t>等。运行管理业务板块</w:t>
      </w:r>
      <w:r>
        <w:rPr>
          <w:rFonts w:hint="default" w:ascii="Times New Roman" w:hAnsi="Times New Roman" w:eastAsia="方正仿宋简体" w:cs="Times New Roman"/>
          <w:b/>
          <w:bCs/>
          <w:color w:val="000000"/>
          <w:sz w:val="32"/>
          <w:szCs w:val="32"/>
          <w:lang w:val="en-US" w:eastAsia="zh-CN"/>
        </w:rPr>
        <w:t>主要有：</w:t>
      </w:r>
      <w:r>
        <w:rPr>
          <w:rFonts w:hint="default" w:ascii="Times New Roman" w:hAnsi="Times New Roman" w:eastAsia="方正仿宋简体" w:cs="Times New Roman"/>
          <w:b/>
          <w:bCs/>
          <w:color w:val="000000"/>
          <w:sz w:val="32"/>
          <w:szCs w:val="32"/>
        </w:rPr>
        <w:t>济宁市城乡水务局济宁市南跃进沟提水站工程运行管理项目、济宁市城乡水务局南水北调截污导流蓄水区人工湿地水质净化工程日常运行管理项目，各项目运行良好，满足工程使用要求，发挥了工程效益。招标代理业务板块：具备专业的代理业务团队，熟悉政策与流程，可提供全流程招标服务，涵盖工程、物资等采购代理服务领域。</w:t>
      </w:r>
    </w:p>
    <w:p>
      <w:pPr>
        <w:spacing w:line="600" w:lineRule="exact"/>
        <w:ind w:firstLine="643" w:firstLineChars="200"/>
        <w:rPr>
          <w:rFonts w:hint="default" w:ascii="Times New Roman" w:hAnsi="Times New Roman" w:eastAsia="方正仿宋简体" w:cs="Times New Roman"/>
          <w:b/>
          <w:bCs/>
          <w:color w:val="000000"/>
          <w:sz w:val="32"/>
          <w:szCs w:val="32"/>
        </w:rPr>
      </w:pPr>
      <w:r>
        <w:rPr>
          <w:rFonts w:hint="default" w:ascii="Times New Roman" w:hAnsi="Times New Roman" w:eastAsia="方正仿宋简体" w:cs="Times New Roman"/>
          <w:b/>
          <w:bCs/>
          <w:color w:val="000000"/>
          <w:sz w:val="32"/>
          <w:szCs w:val="32"/>
        </w:rPr>
        <w:t>公司始终秉持公正诚信、专业高效的服务理念，坚持务实求真、诚信为本的服务精神，以回馈社会为己任，以服务客户为宗旨。诚以致信，践于施行。</w:t>
      </w:r>
    </w:p>
    <w:p>
      <w:pPr>
        <w:pStyle w:val="7"/>
        <w:numPr>
          <w:ilvl w:val="0"/>
          <w:numId w:val="1"/>
        </w:numPr>
        <w:spacing w:line="600" w:lineRule="exact"/>
        <w:ind w:firstLine="643" w:firstLineChars="200"/>
        <w:rPr>
          <w:rFonts w:hint="default" w:ascii="Times New Roman" w:hAnsi="Times New Roman" w:eastAsia="方正黑体简体" w:cs="Times New Roman"/>
          <w:b/>
          <w:bCs/>
          <w:color w:val="000000"/>
          <w:sz w:val="32"/>
          <w:szCs w:val="32"/>
        </w:rPr>
      </w:pPr>
      <w:r>
        <w:rPr>
          <w:rFonts w:hint="default" w:ascii="Times New Roman" w:hAnsi="Times New Roman" w:eastAsia="方正黑体简体" w:cs="Times New Roman"/>
          <w:b/>
          <w:bCs/>
          <w:color w:val="000000"/>
          <w:sz w:val="32"/>
          <w:szCs w:val="32"/>
        </w:rPr>
        <w:t>主要会计数据和财务指标</w:t>
      </w:r>
    </w:p>
    <w:p>
      <w:pPr>
        <w:pStyle w:val="7"/>
        <w:spacing w:line="600" w:lineRule="exact"/>
        <w:ind w:firstLine="643" w:firstLineChars="200"/>
        <w:jc w:val="center"/>
        <w:rPr>
          <w:rFonts w:hint="default" w:ascii="Times New Roman" w:hAnsi="Times New Roman" w:eastAsia="方正仿宋简体" w:cs="Times New Roman"/>
          <w:b/>
          <w:bCs/>
          <w:color w:val="000000"/>
          <w:sz w:val="32"/>
          <w:szCs w:val="32"/>
          <w:lang w:val="en-US" w:eastAsia="zh-CN"/>
        </w:rPr>
      </w:pPr>
      <w:r>
        <w:rPr>
          <w:rFonts w:hint="default" w:ascii="Times New Roman" w:hAnsi="Times New Roman" w:eastAsia="方正仿宋简体" w:cs="Times New Roman"/>
          <w:b/>
          <w:bCs/>
          <w:color w:val="000000"/>
          <w:sz w:val="32"/>
          <w:szCs w:val="32"/>
          <w:lang w:val="en-US" w:eastAsia="zh-CN"/>
        </w:rPr>
        <w:t>2025年度主要财务数据</w:t>
      </w:r>
    </w:p>
    <w:p>
      <w:pPr>
        <w:pStyle w:val="7"/>
        <w:spacing w:line="600" w:lineRule="exact"/>
        <w:ind w:left="420" w:leftChars="200" w:firstLine="0"/>
        <w:jc w:val="right"/>
        <w:rPr>
          <w:rFonts w:hint="default" w:ascii="Times New Roman" w:hAnsi="Times New Roman" w:eastAsia="方正仿宋简体" w:cs="Times New Roman"/>
          <w:b/>
          <w:bCs/>
          <w:color w:val="000000"/>
          <w:sz w:val="32"/>
          <w:szCs w:val="32"/>
        </w:rPr>
      </w:pPr>
      <w:r>
        <w:rPr>
          <w:rFonts w:hint="default" w:ascii="Times New Roman" w:hAnsi="Times New Roman" w:eastAsia="方正仿宋简体" w:cs="Times New Roman"/>
          <w:b/>
          <w:bCs/>
          <w:color w:val="000000"/>
          <w:kern w:val="0"/>
          <w:sz w:val="32"/>
          <w:szCs w:val="32"/>
          <w:lang w:val="en-US" w:eastAsia="zh-CN" w:bidi="ar"/>
        </w:rPr>
        <w:t>单位：人民币万元</w:t>
      </w:r>
    </w:p>
    <w:tbl>
      <w:tblPr>
        <w:tblStyle w:val="5"/>
        <w:tblW w:w="8550" w:type="dxa"/>
        <w:tblInd w:w="192" w:type="dxa"/>
        <w:tblLayout w:type="fixed"/>
        <w:tblCellMar>
          <w:top w:w="0" w:type="dxa"/>
          <w:left w:w="108" w:type="dxa"/>
          <w:bottom w:w="0" w:type="dxa"/>
          <w:right w:w="108" w:type="dxa"/>
        </w:tblCellMar>
      </w:tblPr>
      <w:tblGrid>
        <w:gridCol w:w="1050"/>
        <w:gridCol w:w="2310"/>
        <w:gridCol w:w="2595"/>
        <w:gridCol w:w="2595"/>
      </w:tblGrid>
      <w:tr>
        <w:tblPrEx>
          <w:tblCellMar>
            <w:top w:w="0" w:type="dxa"/>
            <w:left w:w="108" w:type="dxa"/>
            <w:bottom w:w="0" w:type="dxa"/>
            <w:right w:w="108" w:type="dxa"/>
          </w:tblCellMar>
        </w:tblPrEx>
        <w:trPr>
          <w:trHeight w:val="571" w:hRule="atLeast"/>
        </w:trPr>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default" w:ascii="Times New Roman" w:hAnsi="Times New Roman" w:eastAsia="方正仿宋简体" w:cs="Times New Roman"/>
                <w:b/>
                <w:bCs/>
                <w:color w:val="000000"/>
                <w:sz w:val="32"/>
                <w:szCs w:val="32"/>
              </w:rPr>
            </w:pPr>
            <w:r>
              <w:rPr>
                <w:rFonts w:hint="default" w:ascii="Times New Roman" w:hAnsi="Times New Roman" w:eastAsia="方正仿宋简体" w:cs="Times New Roman"/>
                <w:b/>
                <w:bCs/>
                <w:color w:val="000000"/>
                <w:sz w:val="32"/>
                <w:szCs w:val="32"/>
              </w:rPr>
              <w:t>序号</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default" w:ascii="Times New Roman" w:hAnsi="Times New Roman" w:eastAsia="方正仿宋简体" w:cs="Times New Roman"/>
                <w:b/>
                <w:bCs/>
                <w:color w:val="000000"/>
                <w:sz w:val="32"/>
                <w:szCs w:val="32"/>
              </w:rPr>
            </w:pPr>
            <w:r>
              <w:rPr>
                <w:rFonts w:hint="default" w:ascii="Times New Roman" w:hAnsi="Times New Roman" w:eastAsia="方正仿宋简体" w:cs="Times New Roman"/>
                <w:b/>
                <w:bCs/>
                <w:color w:val="000000"/>
                <w:sz w:val="32"/>
                <w:szCs w:val="32"/>
              </w:rPr>
              <w:t>项目</w:t>
            </w:r>
          </w:p>
        </w:tc>
        <w:tc>
          <w:tcPr>
            <w:tcW w:w="2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简体" w:cs="Times New Roman"/>
                <w:b/>
                <w:bCs/>
                <w:color w:val="000000"/>
                <w:sz w:val="32"/>
                <w:szCs w:val="32"/>
              </w:rPr>
            </w:pPr>
            <w:r>
              <w:rPr>
                <w:rFonts w:hint="default" w:ascii="Times New Roman" w:hAnsi="Times New Roman" w:eastAsia="方正仿宋简体" w:cs="Times New Roman"/>
                <w:b/>
                <w:bCs/>
                <w:color w:val="000000"/>
                <w:kern w:val="0"/>
                <w:sz w:val="32"/>
                <w:szCs w:val="32"/>
                <w:lang w:bidi="ar"/>
              </w:rPr>
              <w:t>本期金额</w:t>
            </w:r>
          </w:p>
        </w:tc>
        <w:tc>
          <w:tcPr>
            <w:tcW w:w="2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简体" w:cs="Times New Roman"/>
                <w:b/>
                <w:bCs/>
                <w:color w:val="000000"/>
                <w:kern w:val="0"/>
                <w:sz w:val="32"/>
                <w:szCs w:val="32"/>
                <w:lang w:bidi="ar"/>
              </w:rPr>
            </w:pPr>
            <w:r>
              <w:rPr>
                <w:rFonts w:hint="default" w:ascii="Times New Roman" w:hAnsi="Times New Roman" w:eastAsia="方正仿宋简体" w:cs="Times New Roman"/>
                <w:b/>
                <w:bCs/>
                <w:color w:val="000000"/>
                <w:kern w:val="0"/>
                <w:sz w:val="32"/>
                <w:szCs w:val="32"/>
                <w:lang w:bidi="ar"/>
              </w:rPr>
              <w:t>上年同期金额</w:t>
            </w:r>
          </w:p>
        </w:tc>
      </w:tr>
      <w:tr>
        <w:tblPrEx>
          <w:tblCellMar>
            <w:top w:w="0" w:type="dxa"/>
            <w:left w:w="108" w:type="dxa"/>
            <w:bottom w:w="0" w:type="dxa"/>
            <w:right w:w="108" w:type="dxa"/>
          </w:tblCellMar>
        </w:tblPrEx>
        <w:trPr>
          <w:trHeight w:val="571" w:hRule="atLeast"/>
        </w:trPr>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default" w:ascii="Times New Roman" w:hAnsi="Times New Roman" w:eastAsia="方正仿宋简体" w:cs="Times New Roman"/>
                <w:b/>
                <w:bCs/>
                <w:color w:val="000000"/>
                <w:sz w:val="32"/>
                <w:szCs w:val="32"/>
              </w:rPr>
            </w:pPr>
            <w:r>
              <w:rPr>
                <w:rFonts w:hint="default" w:ascii="Times New Roman" w:hAnsi="Times New Roman" w:eastAsia="方正仿宋简体" w:cs="Times New Roman"/>
                <w:b/>
                <w:bCs/>
                <w:color w:val="000000"/>
                <w:sz w:val="32"/>
                <w:szCs w:val="32"/>
              </w:rPr>
              <w:t>1</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default" w:ascii="Times New Roman" w:hAnsi="Times New Roman" w:eastAsia="方正仿宋简体" w:cs="Times New Roman"/>
                <w:b/>
                <w:bCs/>
                <w:color w:val="000000"/>
                <w:sz w:val="32"/>
                <w:szCs w:val="32"/>
              </w:rPr>
            </w:pPr>
            <w:r>
              <w:rPr>
                <w:rFonts w:hint="default" w:ascii="Times New Roman" w:hAnsi="Times New Roman" w:eastAsia="方正仿宋简体" w:cs="Times New Roman"/>
                <w:b/>
                <w:bCs/>
                <w:color w:val="000000"/>
                <w:sz w:val="32"/>
                <w:szCs w:val="32"/>
              </w:rPr>
              <w:t>资产总额</w:t>
            </w:r>
          </w:p>
        </w:tc>
        <w:tc>
          <w:tcPr>
            <w:tcW w:w="2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简体" w:cs="Times New Roman"/>
                <w:b/>
                <w:bCs/>
                <w:color w:val="000000"/>
                <w:sz w:val="32"/>
                <w:szCs w:val="32"/>
                <w:lang w:val="en-US" w:eastAsia="zh-CN"/>
              </w:rPr>
            </w:pPr>
            <w:r>
              <w:rPr>
                <w:rFonts w:hint="default" w:ascii="Times New Roman" w:hAnsi="Times New Roman" w:eastAsia="方正仿宋简体" w:cs="Times New Roman"/>
                <w:b/>
                <w:bCs/>
                <w:color w:val="000000"/>
                <w:sz w:val="32"/>
                <w:szCs w:val="32"/>
                <w:lang w:val="en-US" w:eastAsia="zh-CN"/>
              </w:rPr>
              <w:t>516</w:t>
            </w:r>
          </w:p>
        </w:tc>
        <w:tc>
          <w:tcPr>
            <w:tcW w:w="2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简体" w:cs="Times New Roman"/>
                <w:b/>
                <w:bCs/>
                <w:color w:val="000000"/>
                <w:sz w:val="32"/>
                <w:szCs w:val="32"/>
                <w:lang w:val="en-US" w:eastAsia="zh-CN"/>
              </w:rPr>
            </w:pPr>
            <w:r>
              <w:rPr>
                <w:rFonts w:hint="default" w:ascii="Times New Roman" w:hAnsi="Times New Roman" w:eastAsia="方正仿宋简体" w:cs="Times New Roman"/>
                <w:b/>
                <w:bCs/>
                <w:color w:val="000000"/>
                <w:sz w:val="32"/>
                <w:szCs w:val="32"/>
                <w:lang w:val="en-US" w:eastAsia="zh-CN"/>
              </w:rPr>
              <w:t>160</w:t>
            </w:r>
          </w:p>
        </w:tc>
      </w:tr>
      <w:tr>
        <w:tblPrEx>
          <w:tblCellMar>
            <w:top w:w="0" w:type="dxa"/>
            <w:left w:w="108" w:type="dxa"/>
            <w:bottom w:w="0" w:type="dxa"/>
            <w:right w:w="108" w:type="dxa"/>
          </w:tblCellMar>
        </w:tblPrEx>
        <w:trPr>
          <w:trHeight w:val="571" w:hRule="atLeast"/>
        </w:trPr>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default" w:ascii="Times New Roman" w:hAnsi="Times New Roman" w:eastAsia="方正仿宋简体" w:cs="Times New Roman"/>
                <w:b/>
                <w:bCs/>
                <w:color w:val="000000"/>
                <w:sz w:val="32"/>
                <w:szCs w:val="32"/>
              </w:rPr>
            </w:pPr>
            <w:r>
              <w:rPr>
                <w:rFonts w:hint="default" w:ascii="Times New Roman" w:hAnsi="Times New Roman" w:eastAsia="方正仿宋简体" w:cs="Times New Roman"/>
                <w:b/>
                <w:bCs/>
                <w:color w:val="000000"/>
                <w:sz w:val="32"/>
                <w:szCs w:val="32"/>
              </w:rPr>
              <w:t>2</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default" w:ascii="Times New Roman" w:hAnsi="Times New Roman" w:eastAsia="方正仿宋简体" w:cs="Times New Roman"/>
                <w:b/>
                <w:bCs/>
                <w:color w:val="000000"/>
                <w:sz w:val="32"/>
                <w:szCs w:val="32"/>
              </w:rPr>
            </w:pPr>
            <w:r>
              <w:rPr>
                <w:rFonts w:hint="default" w:ascii="Times New Roman" w:hAnsi="Times New Roman" w:eastAsia="方正仿宋简体" w:cs="Times New Roman"/>
                <w:b/>
                <w:bCs/>
                <w:color w:val="000000"/>
                <w:sz w:val="32"/>
                <w:szCs w:val="32"/>
              </w:rPr>
              <w:t>负债总额</w:t>
            </w:r>
          </w:p>
        </w:tc>
        <w:tc>
          <w:tcPr>
            <w:tcW w:w="2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简体" w:cs="Times New Roman"/>
                <w:b/>
                <w:bCs/>
                <w:color w:val="000000"/>
                <w:sz w:val="32"/>
                <w:szCs w:val="32"/>
                <w:lang w:val="en-US" w:eastAsia="zh-CN"/>
              </w:rPr>
            </w:pPr>
            <w:r>
              <w:rPr>
                <w:rFonts w:hint="default" w:ascii="Times New Roman" w:hAnsi="Times New Roman" w:eastAsia="方正仿宋简体" w:cs="Times New Roman"/>
                <w:b/>
                <w:bCs/>
                <w:color w:val="000000"/>
                <w:sz w:val="32"/>
                <w:szCs w:val="32"/>
                <w:lang w:val="en-US" w:eastAsia="zh-CN"/>
              </w:rPr>
              <w:t>27</w:t>
            </w:r>
          </w:p>
        </w:tc>
        <w:tc>
          <w:tcPr>
            <w:tcW w:w="2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简体" w:cs="Times New Roman"/>
                <w:b/>
                <w:bCs/>
                <w:color w:val="000000"/>
                <w:sz w:val="32"/>
                <w:szCs w:val="32"/>
                <w:lang w:val="en-US" w:eastAsia="zh-CN"/>
              </w:rPr>
            </w:pPr>
            <w:r>
              <w:rPr>
                <w:rFonts w:hint="default" w:ascii="Times New Roman" w:hAnsi="Times New Roman" w:eastAsia="方正仿宋简体" w:cs="Times New Roman"/>
                <w:b/>
                <w:bCs/>
                <w:color w:val="000000"/>
                <w:sz w:val="32"/>
                <w:szCs w:val="32"/>
                <w:lang w:val="en-US" w:eastAsia="zh-CN"/>
              </w:rPr>
              <w:t>12</w:t>
            </w:r>
          </w:p>
        </w:tc>
      </w:tr>
      <w:tr>
        <w:tblPrEx>
          <w:tblCellMar>
            <w:top w:w="0" w:type="dxa"/>
            <w:left w:w="108" w:type="dxa"/>
            <w:bottom w:w="0" w:type="dxa"/>
            <w:right w:w="108" w:type="dxa"/>
          </w:tblCellMar>
        </w:tblPrEx>
        <w:trPr>
          <w:trHeight w:val="571" w:hRule="atLeast"/>
        </w:trPr>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default" w:ascii="Times New Roman" w:hAnsi="Times New Roman" w:eastAsia="方正仿宋简体" w:cs="Times New Roman"/>
                <w:b/>
                <w:bCs/>
                <w:color w:val="000000"/>
                <w:sz w:val="32"/>
                <w:szCs w:val="32"/>
              </w:rPr>
            </w:pPr>
            <w:r>
              <w:rPr>
                <w:rFonts w:hint="default" w:ascii="Times New Roman" w:hAnsi="Times New Roman" w:eastAsia="方正仿宋简体" w:cs="Times New Roman"/>
                <w:b/>
                <w:bCs/>
                <w:color w:val="000000"/>
                <w:sz w:val="32"/>
                <w:szCs w:val="32"/>
              </w:rPr>
              <w:t>3</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default" w:ascii="Times New Roman" w:hAnsi="Times New Roman" w:eastAsia="方正仿宋简体" w:cs="Times New Roman"/>
                <w:b/>
                <w:bCs/>
                <w:color w:val="000000"/>
                <w:sz w:val="32"/>
                <w:szCs w:val="32"/>
              </w:rPr>
            </w:pPr>
            <w:r>
              <w:rPr>
                <w:rFonts w:hint="default" w:ascii="Times New Roman" w:hAnsi="Times New Roman" w:eastAsia="方正仿宋简体" w:cs="Times New Roman"/>
                <w:b/>
                <w:bCs/>
                <w:color w:val="000000"/>
                <w:sz w:val="32"/>
                <w:szCs w:val="32"/>
              </w:rPr>
              <w:t>所有者权益</w:t>
            </w:r>
          </w:p>
        </w:tc>
        <w:tc>
          <w:tcPr>
            <w:tcW w:w="2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简体" w:cs="Times New Roman"/>
                <w:b/>
                <w:bCs/>
                <w:color w:val="000000"/>
                <w:sz w:val="32"/>
                <w:szCs w:val="32"/>
                <w:lang w:val="en-US" w:eastAsia="zh-CN"/>
              </w:rPr>
            </w:pPr>
            <w:r>
              <w:rPr>
                <w:rFonts w:hint="default" w:ascii="Times New Roman" w:hAnsi="Times New Roman" w:eastAsia="方正仿宋简体" w:cs="Times New Roman"/>
                <w:b/>
                <w:bCs/>
                <w:color w:val="000000"/>
                <w:sz w:val="32"/>
                <w:szCs w:val="32"/>
                <w:lang w:val="en-US" w:eastAsia="zh-CN"/>
              </w:rPr>
              <w:t>489</w:t>
            </w:r>
          </w:p>
        </w:tc>
        <w:tc>
          <w:tcPr>
            <w:tcW w:w="2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简体" w:cs="Times New Roman"/>
                <w:b/>
                <w:bCs/>
                <w:color w:val="000000"/>
                <w:sz w:val="32"/>
                <w:szCs w:val="32"/>
                <w:lang w:val="en-US" w:eastAsia="zh-CN"/>
              </w:rPr>
            </w:pPr>
            <w:r>
              <w:rPr>
                <w:rFonts w:hint="default" w:ascii="Times New Roman" w:hAnsi="Times New Roman" w:eastAsia="方正仿宋简体" w:cs="Times New Roman"/>
                <w:b/>
                <w:bCs/>
                <w:color w:val="000000"/>
                <w:sz w:val="32"/>
                <w:szCs w:val="32"/>
                <w:lang w:val="en-US" w:eastAsia="zh-CN"/>
              </w:rPr>
              <w:t>148</w:t>
            </w:r>
          </w:p>
        </w:tc>
      </w:tr>
      <w:tr>
        <w:tblPrEx>
          <w:tblCellMar>
            <w:top w:w="0" w:type="dxa"/>
            <w:left w:w="108" w:type="dxa"/>
            <w:bottom w:w="0" w:type="dxa"/>
            <w:right w:w="108" w:type="dxa"/>
          </w:tblCellMar>
        </w:tblPrEx>
        <w:trPr>
          <w:trHeight w:val="580" w:hRule="atLeast"/>
        </w:trPr>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default" w:ascii="Times New Roman" w:hAnsi="Times New Roman" w:eastAsia="方正仿宋简体" w:cs="Times New Roman"/>
                <w:b/>
                <w:bCs/>
                <w:color w:val="000000"/>
                <w:sz w:val="32"/>
                <w:szCs w:val="32"/>
              </w:rPr>
            </w:pPr>
            <w:r>
              <w:rPr>
                <w:rFonts w:hint="default" w:ascii="Times New Roman" w:hAnsi="Times New Roman" w:eastAsia="方正仿宋简体" w:cs="Times New Roman"/>
                <w:b/>
                <w:bCs/>
                <w:color w:val="000000"/>
                <w:sz w:val="32"/>
                <w:szCs w:val="32"/>
              </w:rPr>
              <w:t>4</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default" w:ascii="Times New Roman" w:hAnsi="Times New Roman" w:eastAsia="方正仿宋简体" w:cs="Times New Roman"/>
                <w:b/>
                <w:bCs/>
                <w:color w:val="000000"/>
                <w:sz w:val="32"/>
                <w:szCs w:val="32"/>
              </w:rPr>
            </w:pPr>
            <w:r>
              <w:rPr>
                <w:rFonts w:hint="default" w:ascii="Times New Roman" w:hAnsi="Times New Roman" w:eastAsia="方正仿宋简体" w:cs="Times New Roman"/>
                <w:b/>
                <w:bCs/>
                <w:color w:val="000000"/>
                <w:sz w:val="32"/>
                <w:szCs w:val="32"/>
              </w:rPr>
              <w:t>营业总收入</w:t>
            </w:r>
          </w:p>
        </w:tc>
        <w:tc>
          <w:tcPr>
            <w:tcW w:w="2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简体" w:cs="Times New Roman"/>
                <w:b/>
                <w:bCs/>
                <w:color w:val="000000"/>
                <w:sz w:val="32"/>
                <w:szCs w:val="32"/>
                <w:lang w:val="en-US" w:eastAsia="zh-CN"/>
              </w:rPr>
            </w:pPr>
            <w:r>
              <w:rPr>
                <w:rFonts w:hint="default" w:ascii="Times New Roman" w:hAnsi="Times New Roman" w:eastAsia="方正仿宋简体" w:cs="Times New Roman"/>
                <w:b/>
                <w:bCs/>
                <w:color w:val="000000"/>
                <w:sz w:val="32"/>
                <w:szCs w:val="32"/>
                <w:lang w:val="en-US" w:eastAsia="zh-CN"/>
              </w:rPr>
              <w:t>303</w:t>
            </w:r>
          </w:p>
        </w:tc>
        <w:tc>
          <w:tcPr>
            <w:tcW w:w="2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简体" w:cs="Times New Roman"/>
                <w:b/>
                <w:bCs/>
                <w:color w:val="000000"/>
                <w:sz w:val="32"/>
                <w:szCs w:val="32"/>
                <w:lang w:val="en-US" w:eastAsia="zh-CN"/>
              </w:rPr>
            </w:pPr>
            <w:r>
              <w:rPr>
                <w:rFonts w:hint="default" w:ascii="Times New Roman" w:hAnsi="Times New Roman" w:eastAsia="方正仿宋简体" w:cs="Times New Roman"/>
                <w:b/>
                <w:bCs/>
                <w:color w:val="000000"/>
                <w:sz w:val="32"/>
                <w:szCs w:val="32"/>
                <w:lang w:val="en-US" w:eastAsia="zh-CN"/>
              </w:rPr>
              <w:t>183</w:t>
            </w:r>
          </w:p>
        </w:tc>
      </w:tr>
      <w:tr>
        <w:tblPrEx>
          <w:tblCellMar>
            <w:top w:w="0" w:type="dxa"/>
            <w:left w:w="108" w:type="dxa"/>
            <w:bottom w:w="0" w:type="dxa"/>
            <w:right w:w="108" w:type="dxa"/>
          </w:tblCellMar>
        </w:tblPrEx>
        <w:trPr>
          <w:trHeight w:val="580" w:hRule="atLeast"/>
        </w:trPr>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default" w:ascii="Times New Roman" w:hAnsi="Times New Roman" w:eastAsia="方正仿宋简体" w:cs="Times New Roman"/>
                <w:b/>
                <w:bCs/>
                <w:color w:val="000000"/>
                <w:sz w:val="32"/>
                <w:szCs w:val="32"/>
              </w:rPr>
            </w:pPr>
            <w:r>
              <w:rPr>
                <w:rFonts w:hint="default" w:ascii="Times New Roman" w:hAnsi="Times New Roman" w:eastAsia="方正仿宋简体" w:cs="Times New Roman"/>
                <w:b/>
                <w:bCs/>
                <w:color w:val="000000"/>
                <w:sz w:val="32"/>
                <w:szCs w:val="32"/>
              </w:rPr>
              <w:t>5</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default" w:ascii="Times New Roman" w:hAnsi="Times New Roman" w:eastAsia="方正仿宋简体" w:cs="Times New Roman"/>
                <w:b/>
                <w:bCs/>
                <w:color w:val="000000"/>
                <w:sz w:val="32"/>
                <w:szCs w:val="32"/>
              </w:rPr>
            </w:pPr>
            <w:r>
              <w:rPr>
                <w:rFonts w:hint="default" w:ascii="Times New Roman" w:hAnsi="Times New Roman" w:eastAsia="方正仿宋简体" w:cs="Times New Roman"/>
                <w:b/>
                <w:bCs/>
                <w:color w:val="000000"/>
                <w:sz w:val="32"/>
                <w:szCs w:val="32"/>
              </w:rPr>
              <w:t>营业总成本</w:t>
            </w:r>
          </w:p>
        </w:tc>
        <w:tc>
          <w:tcPr>
            <w:tcW w:w="2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简体" w:cs="Times New Roman"/>
                <w:b/>
                <w:bCs/>
                <w:color w:val="000000"/>
                <w:kern w:val="0"/>
                <w:sz w:val="32"/>
                <w:szCs w:val="32"/>
                <w:lang w:val="en-US" w:eastAsia="zh-CN" w:bidi="ar"/>
              </w:rPr>
            </w:pPr>
            <w:r>
              <w:rPr>
                <w:rFonts w:hint="default" w:ascii="Times New Roman" w:hAnsi="Times New Roman" w:eastAsia="方正仿宋简体" w:cs="Times New Roman"/>
                <w:b/>
                <w:bCs/>
                <w:color w:val="000000"/>
                <w:kern w:val="0"/>
                <w:sz w:val="32"/>
                <w:szCs w:val="32"/>
                <w:lang w:val="en-US" w:eastAsia="zh-CN" w:bidi="ar"/>
              </w:rPr>
              <w:t>260</w:t>
            </w:r>
          </w:p>
        </w:tc>
        <w:tc>
          <w:tcPr>
            <w:tcW w:w="2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简体" w:cs="Times New Roman"/>
                <w:b/>
                <w:bCs/>
                <w:color w:val="000000"/>
                <w:kern w:val="0"/>
                <w:sz w:val="32"/>
                <w:szCs w:val="32"/>
                <w:lang w:val="en-US" w:eastAsia="zh-CN" w:bidi="ar"/>
              </w:rPr>
            </w:pPr>
            <w:r>
              <w:rPr>
                <w:rFonts w:hint="default" w:ascii="Times New Roman" w:hAnsi="Times New Roman" w:eastAsia="方正仿宋简体" w:cs="Times New Roman"/>
                <w:b/>
                <w:bCs/>
                <w:color w:val="000000"/>
                <w:kern w:val="0"/>
                <w:sz w:val="32"/>
                <w:szCs w:val="32"/>
                <w:lang w:val="en-US" w:eastAsia="zh-CN" w:bidi="ar"/>
              </w:rPr>
              <w:t>128</w:t>
            </w:r>
          </w:p>
        </w:tc>
      </w:tr>
      <w:tr>
        <w:tblPrEx>
          <w:tblCellMar>
            <w:top w:w="0" w:type="dxa"/>
            <w:left w:w="108" w:type="dxa"/>
            <w:bottom w:w="0" w:type="dxa"/>
            <w:right w:w="108" w:type="dxa"/>
          </w:tblCellMar>
        </w:tblPrEx>
        <w:trPr>
          <w:trHeight w:val="580" w:hRule="atLeast"/>
        </w:trPr>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default" w:ascii="Times New Roman" w:hAnsi="Times New Roman" w:eastAsia="方正仿宋简体" w:cs="Times New Roman"/>
                <w:b/>
                <w:bCs/>
                <w:color w:val="000000"/>
                <w:sz w:val="32"/>
                <w:szCs w:val="32"/>
              </w:rPr>
            </w:pPr>
            <w:r>
              <w:rPr>
                <w:rFonts w:hint="default" w:ascii="Times New Roman" w:hAnsi="Times New Roman" w:eastAsia="方正仿宋简体" w:cs="Times New Roman"/>
                <w:b/>
                <w:bCs/>
                <w:color w:val="000000"/>
                <w:sz w:val="32"/>
                <w:szCs w:val="32"/>
              </w:rPr>
              <w:t>6</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default" w:ascii="Times New Roman" w:hAnsi="Times New Roman" w:eastAsia="方正仿宋简体" w:cs="Times New Roman"/>
                <w:b/>
                <w:bCs/>
                <w:color w:val="000000"/>
                <w:sz w:val="32"/>
                <w:szCs w:val="32"/>
              </w:rPr>
            </w:pPr>
            <w:r>
              <w:rPr>
                <w:rFonts w:hint="default" w:ascii="Times New Roman" w:hAnsi="Times New Roman" w:eastAsia="方正仿宋简体" w:cs="Times New Roman"/>
                <w:b/>
                <w:bCs/>
                <w:color w:val="000000"/>
                <w:sz w:val="32"/>
                <w:szCs w:val="32"/>
              </w:rPr>
              <w:t>利润总额</w:t>
            </w:r>
          </w:p>
        </w:tc>
        <w:tc>
          <w:tcPr>
            <w:tcW w:w="2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简体" w:cs="Times New Roman"/>
                <w:b/>
                <w:bCs/>
                <w:color w:val="000000"/>
                <w:kern w:val="0"/>
                <w:sz w:val="32"/>
                <w:szCs w:val="32"/>
                <w:lang w:val="en-US" w:eastAsia="zh-CN" w:bidi="ar"/>
              </w:rPr>
            </w:pPr>
            <w:r>
              <w:rPr>
                <w:rFonts w:hint="default" w:ascii="Times New Roman" w:hAnsi="Times New Roman" w:eastAsia="方正仿宋简体" w:cs="Times New Roman"/>
                <w:b/>
                <w:bCs/>
                <w:color w:val="000000"/>
                <w:kern w:val="0"/>
                <w:sz w:val="32"/>
                <w:szCs w:val="32"/>
                <w:lang w:val="en-US" w:eastAsia="zh-CN" w:bidi="ar"/>
              </w:rPr>
              <w:t>43</w:t>
            </w:r>
          </w:p>
        </w:tc>
        <w:tc>
          <w:tcPr>
            <w:tcW w:w="2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简体" w:cs="Times New Roman"/>
                <w:b/>
                <w:bCs/>
                <w:color w:val="000000"/>
                <w:kern w:val="0"/>
                <w:sz w:val="32"/>
                <w:szCs w:val="32"/>
                <w:lang w:val="en-US" w:eastAsia="zh-CN" w:bidi="ar"/>
              </w:rPr>
            </w:pPr>
            <w:r>
              <w:rPr>
                <w:rFonts w:hint="default" w:ascii="Times New Roman" w:hAnsi="Times New Roman" w:eastAsia="方正仿宋简体" w:cs="Times New Roman"/>
                <w:b/>
                <w:bCs/>
                <w:color w:val="000000"/>
                <w:kern w:val="0"/>
                <w:sz w:val="32"/>
                <w:szCs w:val="32"/>
                <w:lang w:val="en-US" w:eastAsia="zh-CN" w:bidi="ar"/>
              </w:rPr>
              <w:t>55</w:t>
            </w:r>
          </w:p>
        </w:tc>
      </w:tr>
    </w:tbl>
    <w:p>
      <w:pPr>
        <w:pStyle w:val="7"/>
        <w:numPr>
          <w:ilvl w:val="0"/>
          <w:numId w:val="1"/>
        </w:numPr>
        <w:tabs>
          <w:tab w:val="left" w:pos="1617"/>
        </w:tabs>
        <w:spacing w:line="600" w:lineRule="exact"/>
        <w:ind w:firstLine="643" w:firstLineChars="200"/>
        <w:rPr>
          <w:rFonts w:hint="default" w:ascii="Times New Roman" w:hAnsi="Times New Roman" w:eastAsia="方正黑体简体" w:cs="Times New Roman"/>
          <w:b/>
          <w:bCs/>
          <w:color w:val="000000"/>
          <w:sz w:val="32"/>
          <w:szCs w:val="32"/>
        </w:rPr>
      </w:pPr>
      <w:r>
        <w:rPr>
          <w:rFonts w:hint="default" w:ascii="Times New Roman" w:hAnsi="Times New Roman" w:eastAsia="方正黑体简体" w:cs="Times New Roman"/>
          <w:b/>
          <w:bCs/>
          <w:color w:val="000000"/>
          <w:sz w:val="32"/>
          <w:szCs w:val="32"/>
        </w:rPr>
        <w:t>财务预算执行情况</w:t>
      </w:r>
    </w:p>
    <w:p>
      <w:pPr>
        <w:ind w:firstLine="643" w:firstLineChars="200"/>
        <w:rPr>
          <w:rFonts w:hint="default" w:ascii="Times New Roman" w:hAnsi="Times New Roman" w:eastAsia="方正仿宋简体" w:cs="Times New Roman"/>
          <w:b/>
          <w:bCs/>
          <w:color w:val="000000"/>
          <w:sz w:val="32"/>
          <w:szCs w:val="32"/>
        </w:rPr>
      </w:pPr>
      <w:r>
        <w:rPr>
          <w:rFonts w:hint="default" w:ascii="Times New Roman" w:hAnsi="Times New Roman" w:eastAsia="方正仿宋简体" w:cs="Times New Roman"/>
          <w:b/>
          <w:bCs/>
          <w:color w:val="000000"/>
          <w:sz w:val="32"/>
          <w:szCs w:val="32"/>
          <w:lang w:bidi="zh-TW"/>
        </w:rPr>
        <w:t>202</w:t>
      </w:r>
      <w:r>
        <w:rPr>
          <w:rFonts w:hint="default" w:ascii="Times New Roman" w:hAnsi="Times New Roman" w:eastAsia="方正仿宋简体" w:cs="Times New Roman"/>
          <w:b/>
          <w:bCs/>
          <w:color w:val="000000"/>
          <w:sz w:val="32"/>
          <w:szCs w:val="32"/>
          <w:lang w:val="en-US" w:eastAsia="zh-CN" w:bidi="zh-TW"/>
        </w:rPr>
        <w:t>5</w:t>
      </w:r>
      <w:r>
        <w:rPr>
          <w:rFonts w:hint="default" w:ascii="Times New Roman" w:hAnsi="Times New Roman" w:eastAsia="方正仿宋简体" w:cs="Times New Roman"/>
          <w:b/>
          <w:bCs/>
          <w:color w:val="000000"/>
          <w:sz w:val="32"/>
          <w:szCs w:val="32"/>
          <w:lang w:bidi="zh-TW"/>
        </w:rPr>
        <w:t>年度，公司实现营业总收入</w:t>
      </w:r>
      <w:r>
        <w:rPr>
          <w:rFonts w:hint="default" w:ascii="Times New Roman" w:hAnsi="Times New Roman" w:eastAsia="方正仿宋简体" w:cs="Times New Roman"/>
          <w:b/>
          <w:bCs/>
          <w:color w:val="000000"/>
          <w:sz w:val="32"/>
          <w:szCs w:val="32"/>
          <w:lang w:val="en-US" w:eastAsia="zh-CN" w:bidi="zh-TW"/>
        </w:rPr>
        <w:t>303</w:t>
      </w:r>
      <w:r>
        <w:rPr>
          <w:rFonts w:hint="default" w:ascii="Times New Roman" w:hAnsi="Times New Roman" w:eastAsia="方正仿宋简体" w:cs="Times New Roman"/>
          <w:b/>
          <w:bCs/>
          <w:color w:val="000000"/>
          <w:sz w:val="32"/>
          <w:szCs w:val="32"/>
          <w:lang w:bidi="zh-TW"/>
        </w:rPr>
        <w:t>万元，完成年度预算的10</w:t>
      </w:r>
      <w:r>
        <w:rPr>
          <w:rFonts w:hint="default" w:ascii="Times New Roman" w:hAnsi="Times New Roman" w:eastAsia="方正仿宋简体" w:cs="Times New Roman"/>
          <w:b/>
          <w:bCs/>
          <w:color w:val="000000"/>
          <w:sz w:val="32"/>
          <w:szCs w:val="32"/>
          <w:lang w:val="en-US" w:eastAsia="zh-CN" w:bidi="zh-TW"/>
        </w:rPr>
        <w:t>0</w:t>
      </w:r>
      <w:r>
        <w:rPr>
          <w:rFonts w:hint="default" w:ascii="Times New Roman" w:hAnsi="Times New Roman" w:eastAsia="方正仿宋简体" w:cs="Times New Roman"/>
          <w:b/>
          <w:bCs/>
          <w:color w:val="000000"/>
          <w:sz w:val="32"/>
          <w:szCs w:val="32"/>
          <w:lang w:bidi="zh-TW"/>
        </w:rPr>
        <w:t>%；实现利润总额</w:t>
      </w:r>
      <w:r>
        <w:rPr>
          <w:rFonts w:hint="default" w:ascii="Times New Roman" w:hAnsi="Times New Roman" w:eastAsia="方正仿宋简体" w:cs="Times New Roman"/>
          <w:b/>
          <w:bCs/>
          <w:color w:val="000000"/>
          <w:sz w:val="32"/>
          <w:szCs w:val="32"/>
          <w:lang w:val="en-US" w:eastAsia="zh-CN" w:bidi="zh-TW"/>
        </w:rPr>
        <w:t>43</w:t>
      </w:r>
      <w:r>
        <w:rPr>
          <w:rFonts w:hint="default" w:ascii="Times New Roman" w:hAnsi="Times New Roman" w:eastAsia="方正仿宋简体" w:cs="Times New Roman"/>
          <w:b/>
          <w:bCs/>
          <w:color w:val="000000"/>
          <w:sz w:val="32"/>
          <w:szCs w:val="32"/>
          <w:lang w:bidi="zh-TW"/>
        </w:rPr>
        <w:t>万元，完成年度预算的10</w:t>
      </w:r>
      <w:r>
        <w:rPr>
          <w:rFonts w:hint="default" w:ascii="Times New Roman" w:hAnsi="Times New Roman" w:eastAsia="方正仿宋简体" w:cs="Times New Roman"/>
          <w:b/>
          <w:bCs/>
          <w:color w:val="000000"/>
          <w:sz w:val="32"/>
          <w:szCs w:val="32"/>
          <w:lang w:val="en-US" w:eastAsia="zh-CN" w:bidi="zh-TW"/>
        </w:rPr>
        <w:t>0</w:t>
      </w:r>
      <w:r>
        <w:rPr>
          <w:rFonts w:hint="default" w:ascii="Times New Roman" w:hAnsi="Times New Roman" w:eastAsia="方正仿宋简体" w:cs="Times New Roman"/>
          <w:b/>
          <w:bCs/>
          <w:color w:val="000000"/>
          <w:sz w:val="32"/>
          <w:szCs w:val="32"/>
          <w:lang w:bidi="zh-TW"/>
        </w:rPr>
        <w:t>%；实现净利润</w:t>
      </w:r>
      <w:r>
        <w:rPr>
          <w:rFonts w:hint="default" w:ascii="Times New Roman" w:hAnsi="Times New Roman" w:eastAsia="方正仿宋简体" w:cs="Times New Roman"/>
          <w:b/>
          <w:bCs/>
          <w:color w:val="000000"/>
          <w:sz w:val="32"/>
          <w:szCs w:val="32"/>
          <w:lang w:val="en-US" w:eastAsia="zh-CN" w:bidi="zh-TW"/>
        </w:rPr>
        <w:t>41</w:t>
      </w:r>
      <w:r>
        <w:rPr>
          <w:rFonts w:hint="default" w:ascii="Times New Roman" w:hAnsi="Times New Roman" w:eastAsia="方正仿宋简体" w:cs="Times New Roman"/>
          <w:b/>
          <w:bCs/>
          <w:color w:val="000000"/>
          <w:sz w:val="32"/>
          <w:szCs w:val="32"/>
          <w:lang w:bidi="zh-TW"/>
        </w:rPr>
        <w:t>万元，完成年度预算的100%。</w:t>
      </w:r>
    </w:p>
    <w:p>
      <w:pPr>
        <w:pStyle w:val="7"/>
        <w:numPr>
          <w:ilvl w:val="0"/>
          <w:numId w:val="1"/>
        </w:numPr>
        <w:tabs>
          <w:tab w:val="left" w:pos="1624"/>
        </w:tabs>
        <w:spacing w:line="600" w:lineRule="exact"/>
        <w:ind w:firstLine="643" w:firstLineChars="200"/>
        <w:rPr>
          <w:rFonts w:hint="default" w:ascii="Times New Roman" w:hAnsi="Times New Roman" w:eastAsia="方正黑体简体" w:cs="Times New Roman"/>
          <w:b/>
          <w:bCs/>
          <w:color w:val="000000"/>
          <w:sz w:val="32"/>
          <w:szCs w:val="32"/>
          <w:lang w:val="en-US" w:eastAsia="zh-CN"/>
        </w:rPr>
      </w:pPr>
      <w:r>
        <w:rPr>
          <w:rFonts w:hint="default" w:ascii="Times New Roman" w:hAnsi="Times New Roman" w:eastAsia="方正黑体简体" w:cs="Times New Roman"/>
          <w:b/>
          <w:bCs/>
          <w:color w:val="000000"/>
          <w:sz w:val="32"/>
          <w:szCs w:val="32"/>
          <w:lang w:val="en-US" w:eastAsia="zh-CN"/>
        </w:rPr>
        <w:t>财务会计报告和审计报告摘要</w:t>
      </w:r>
    </w:p>
    <w:p>
      <w:pPr>
        <w:pStyle w:val="7"/>
        <w:keepNext w:val="0"/>
        <w:keepLines w:val="0"/>
        <w:pageBreakBefore w:val="0"/>
        <w:widowControl w:val="0"/>
        <w:tabs>
          <w:tab w:val="left" w:pos="1555"/>
        </w:tabs>
        <w:kinsoku/>
        <w:wordWrap/>
        <w:overflowPunct/>
        <w:topLinePunct w:val="0"/>
        <w:bidi w:val="0"/>
        <w:adjustRightInd/>
        <w:snapToGrid/>
        <w:spacing w:line="600" w:lineRule="exact"/>
        <w:ind w:firstLine="643" w:firstLineChars="200"/>
        <w:textAlignment w:val="auto"/>
        <w:rPr>
          <w:rFonts w:hint="default" w:ascii="Times New Roman" w:hAnsi="Times New Roman" w:eastAsia="方正楷体简体" w:cs="Times New Roman"/>
          <w:b/>
          <w:bCs/>
          <w:sz w:val="32"/>
          <w:szCs w:val="32"/>
          <w:lang w:val="en-US"/>
        </w:rPr>
      </w:pPr>
      <w:r>
        <w:rPr>
          <w:rFonts w:hint="default" w:ascii="Times New Roman" w:hAnsi="Times New Roman" w:eastAsia="方正楷体简体" w:cs="Times New Roman"/>
          <w:b/>
          <w:bCs/>
          <w:sz w:val="32"/>
          <w:szCs w:val="32"/>
          <w:lang w:val="en-US"/>
        </w:rPr>
        <w:t>（一）审计意见</w:t>
      </w:r>
    </w:p>
    <w:p>
      <w:pPr>
        <w:keepNext w:val="0"/>
        <w:keepLines w:val="0"/>
        <w:pageBreakBefore w:val="0"/>
        <w:widowControl w:val="0"/>
        <w:kinsoku/>
        <w:wordWrap/>
        <w:overflowPunct/>
        <w:topLinePunct w:val="0"/>
        <w:autoSpaceDE w:val="0"/>
        <w:autoSpaceDN w:val="0"/>
        <w:bidi w:val="0"/>
        <w:adjustRightInd/>
        <w:snapToGrid/>
        <w:spacing w:line="600" w:lineRule="exact"/>
        <w:ind w:firstLine="643" w:firstLineChars="200"/>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我们审计了山东公用工程管理有限公司《以下简称贵公司》财务报表。包括202</w:t>
      </w:r>
      <w:r>
        <w:rPr>
          <w:rFonts w:hint="default" w:ascii="Times New Roman" w:hAnsi="Times New Roman" w:eastAsia="方正仿宋简体" w:cs="Times New Roman"/>
          <w:b/>
          <w:bCs/>
          <w:sz w:val="32"/>
          <w:szCs w:val="32"/>
          <w:lang w:val="en-US" w:eastAsia="zh-CN"/>
        </w:rPr>
        <w:t>5</w:t>
      </w:r>
      <w:r>
        <w:rPr>
          <w:rFonts w:hint="default" w:ascii="Times New Roman" w:hAnsi="Times New Roman" w:eastAsia="方正仿宋简体" w:cs="Times New Roman"/>
          <w:b/>
          <w:bCs/>
          <w:sz w:val="32"/>
          <w:szCs w:val="32"/>
        </w:rPr>
        <w:t>年12月31日的资产负债表，202</w:t>
      </w:r>
      <w:r>
        <w:rPr>
          <w:rFonts w:hint="default" w:ascii="Times New Roman" w:hAnsi="Times New Roman" w:eastAsia="方正仿宋简体" w:cs="Times New Roman"/>
          <w:b/>
          <w:bCs/>
          <w:sz w:val="32"/>
          <w:szCs w:val="32"/>
          <w:lang w:val="en-US" w:eastAsia="zh-CN"/>
        </w:rPr>
        <w:t>5</w:t>
      </w:r>
      <w:r>
        <w:rPr>
          <w:rFonts w:hint="default" w:ascii="Times New Roman" w:hAnsi="Times New Roman" w:eastAsia="方正仿宋简体" w:cs="Times New Roman"/>
          <w:b/>
          <w:bCs/>
          <w:sz w:val="32"/>
          <w:szCs w:val="32"/>
        </w:rPr>
        <w:t>年度的利润表、现金流量表、所有者权益变动表以及相关财务报表附注。</w:t>
      </w:r>
    </w:p>
    <w:p>
      <w:pPr>
        <w:keepNext w:val="0"/>
        <w:keepLines w:val="0"/>
        <w:pageBreakBefore w:val="0"/>
        <w:widowControl w:val="0"/>
        <w:kinsoku/>
        <w:wordWrap/>
        <w:overflowPunct/>
        <w:topLinePunct w:val="0"/>
        <w:autoSpaceDE w:val="0"/>
        <w:autoSpaceDN w:val="0"/>
        <w:bidi w:val="0"/>
        <w:adjustRightInd/>
        <w:snapToGrid/>
        <w:spacing w:line="600" w:lineRule="exact"/>
        <w:ind w:firstLine="643" w:firstLineChars="200"/>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我们认为，后附的财务报表在所有重大方面按照企业会计准则的规定编制，公允反映了贵公司202</w:t>
      </w:r>
      <w:r>
        <w:rPr>
          <w:rFonts w:hint="default" w:ascii="Times New Roman" w:hAnsi="Times New Roman" w:eastAsia="方正仿宋简体" w:cs="Times New Roman"/>
          <w:b/>
          <w:bCs/>
          <w:sz w:val="32"/>
          <w:szCs w:val="32"/>
          <w:lang w:val="en-US" w:eastAsia="zh-CN"/>
        </w:rPr>
        <w:t>5</w:t>
      </w:r>
      <w:r>
        <w:rPr>
          <w:rFonts w:hint="default" w:ascii="Times New Roman" w:hAnsi="Times New Roman" w:eastAsia="方正仿宋简体" w:cs="Times New Roman"/>
          <w:b/>
          <w:bCs/>
          <w:sz w:val="32"/>
          <w:szCs w:val="32"/>
        </w:rPr>
        <w:t>年12月31日的财务状况以及202</w:t>
      </w:r>
      <w:r>
        <w:rPr>
          <w:rFonts w:hint="default" w:ascii="Times New Roman" w:hAnsi="Times New Roman" w:eastAsia="方正仿宋简体" w:cs="Times New Roman"/>
          <w:b/>
          <w:bCs/>
          <w:sz w:val="32"/>
          <w:szCs w:val="32"/>
          <w:lang w:val="en-US" w:eastAsia="zh-CN"/>
        </w:rPr>
        <w:t>5</w:t>
      </w:r>
      <w:r>
        <w:rPr>
          <w:rFonts w:hint="default" w:ascii="Times New Roman" w:hAnsi="Times New Roman" w:eastAsia="方正仿宋简体" w:cs="Times New Roman"/>
          <w:b/>
          <w:bCs/>
          <w:sz w:val="32"/>
          <w:szCs w:val="32"/>
        </w:rPr>
        <w:t>年度的经营成果和现金流量。</w:t>
      </w:r>
    </w:p>
    <w:p>
      <w:pPr>
        <w:pStyle w:val="7"/>
        <w:keepNext w:val="0"/>
        <w:keepLines w:val="0"/>
        <w:pageBreakBefore w:val="0"/>
        <w:widowControl w:val="0"/>
        <w:tabs>
          <w:tab w:val="left" w:pos="1555"/>
        </w:tabs>
        <w:kinsoku/>
        <w:wordWrap/>
        <w:overflowPunct/>
        <w:topLinePunct w:val="0"/>
        <w:bidi w:val="0"/>
        <w:adjustRightInd/>
        <w:snapToGrid/>
        <w:spacing w:line="600" w:lineRule="exact"/>
        <w:ind w:firstLine="643" w:firstLineChars="200"/>
        <w:textAlignment w:val="auto"/>
        <w:rPr>
          <w:rFonts w:hint="default" w:ascii="Times New Roman" w:hAnsi="Times New Roman" w:eastAsia="方正楷体简体" w:cs="Times New Roman"/>
          <w:b/>
          <w:bCs/>
          <w:sz w:val="32"/>
          <w:szCs w:val="32"/>
          <w:lang w:val="en-US"/>
        </w:rPr>
      </w:pPr>
      <w:r>
        <w:rPr>
          <w:rFonts w:hint="default" w:ascii="Times New Roman" w:hAnsi="Times New Roman" w:eastAsia="方正楷体简体" w:cs="Times New Roman"/>
          <w:b/>
          <w:bCs/>
          <w:sz w:val="32"/>
          <w:szCs w:val="32"/>
          <w:lang w:val="en-US"/>
        </w:rPr>
        <w:t>（二）形成审计意见的基础</w:t>
      </w:r>
    </w:p>
    <w:p>
      <w:pPr>
        <w:keepNext w:val="0"/>
        <w:keepLines w:val="0"/>
        <w:pageBreakBefore w:val="0"/>
        <w:widowControl w:val="0"/>
        <w:kinsoku/>
        <w:wordWrap/>
        <w:overflowPunct/>
        <w:topLinePunct w:val="0"/>
        <w:autoSpaceDE w:val="0"/>
        <w:autoSpaceDN w:val="0"/>
        <w:bidi w:val="0"/>
        <w:adjustRightInd/>
        <w:snapToGrid/>
        <w:spacing w:line="600" w:lineRule="exact"/>
        <w:ind w:firstLine="643" w:firstLineChars="200"/>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我们按照中国注册会计师审计准则的规定执行了审计工作。审计报告的“注册会计师对财务报表审计的责任”部分进一步阐述了我们在这些准则下的责任。按照中国注册会计师职业道德守则，我们独立于贵公司，并履行了职业道德方面的其他责任。我们相信，我们获取的审计证据是充分，适当的，为发表审计意见提供了基础。</w:t>
      </w:r>
    </w:p>
    <w:p>
      <w:pPr>
        <w:pStyle w:val="7"/>
        <w:keepNext w:val="0"/>
        <w:keepLines w:val="0"/>
        <w:pageBreakBefore w:val="0"/>
        <w:widowControl w:val="0"/>
        <w:tabs>
          <w:tab w:val="left" w:pos="1555"/>
        </w:tabs>
        <w:kinsoku/>
        <w:wordWrap/>
        <w:overflowPunct/>
        <w:topLinePunct w:val="0"/>
        <w:bidi w:val="0"/>
        <w:adjustRightInd/>
        <w:snapToGrid/>
        <w:spacing w:line="600" w:lineRule="exact"/>
        <w:ind w:firstLine="643" w:firstLineChars="200"/>
        <w:textAlignment w:val="auto"/>
        <w:rPr>
          <w:rFonts w:hint="default" w:ascii="Times New Roman" w:hAnsi="Times New Roman" w:eastAsia="方正楷体简体" w:cs="Times New Roman"/>
          <w:b/>
          <w:bCs/>
          <w:sz w:val="32"/>
          <w:szCs w:val="32"/>
          <w:lang w:val="en-US"/>
        </w:rPr>
      </w:pPr>
      <w:r>
        <w:rPr>
          <w:rFonts w:hint="default" w:ascii="Times New Roman" w:hAnsi="Times New Roman" w:eastAsia="方正楷体简体" w:cs="Times New Roman"/>
          <w:b/>
          <w:bCs/>
          <w:sz w:val="32"/>
          <w:szCs w:val="32"/>
          <w:lang w:val="en-US"/>
        </w:rPr>
        <w:t>（三）管理层和治理层对财务报表的责任</w:t>
      </w:r>
    </w:p>
    <w:p>
      <w:pPr>
        <w:keepNext w:val="0"/>
        <w:keepLines w:val="0"/>
        <w:pageBreakBefore w:val="0"/>
        <w:widowControl w:val="0"/>
        <w:kinsoku/>
        <w:wordWrap/>
        <w:overflowPunct/>
        <w:topLinePunct w:val="0"/>
        <w:autoSpaceDE w:val="0"/>
        <w:autoSpaceDN w:val="0"/>
        <w:bidi w:val="0"/>
        <w:adjustRightInd/>
        <w:snapToGrid/>
        <w:spacing w:line="600" w:lineRule="exact"/>
        <w:ind w:firstLine="643" w:firstLineChars="200"/>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贵公司管理层（以下简称管理层）负责按照企业会计准则的规定编制财务报表,使其实现公允反映，并设计、执行和维护必要的内部控制，以使财务报表不存在由于舞弊或错误导致的重大错报。</w:t>
      </w:r>
    </w:p>
    <w:p>
      <w:pPr>
        <w:keepNext w:val="0"/>
        <w:keepLines w:val="0"/>
        <w:pageBreakBefore w:val="0"/>
        <w:widowControl w:val="0"/>
        <w:kinsoku/>
        <w:wordWrap/>
        <w:overflowPunct/>
        <w:topLinePunct w:val="0"/>
        <w:autoSpaceDE w:val="0"/>
        <w:autoSpaceDN w:val="0"/>
        <w:bidi w:val="0"/>
        <w:adjustRightInd/>
        <w:snapToGrid/>
        <w:spacing w:line="600" w:lineRule="exact"/>
        <w:ind w:firstLine="643" w:firstLineChars="200"/>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在编制财务报表时,管理层负责评估贵公司的持续经营能力，披露与持续经营相关的事项，并运用持续经营假设，除非管理层计划清算贵公司、终止运营或别无其他</w:t>
      </w:r>
      <w:r>
        <w:rPr>
          <w:rFonts w:hint="default" w:ascii="Times New Roman" w:hAnsi="Times New Roman" w:eastAsia="方正仿宋简体" w:cs="Times New Roman"/>
          <w:b/>
          <w:bCs/>
          <w:sz w:val="32"/>
          <w:szCs w:val="32"/>
          <w:lang w:val="en-US" w:eastAsia="zh-CN"/>
        </w:rPr>
        <w:t>现实</w:t>
      </w:r>
      <w:r>
        <w:rPr>
          <w:rFonts w:hint="default" w:ascii="Times New Roman" w:hAnsi="Times New Roman" w:eastAsia="方正仿宋简体" w:cs="Times New Roman"/>
          <w:b/>
          <w:bCs/>
          <w:sz w:val="32"/>
          <w:szCs w:val="32"/>
        </w:rPr>
        <w:t>的选择。</w:t>
      </w:r>
    </w:p>
    <w:p>
      <w:pPr>
        <w:keepNext w:val="0"/>
        <w:keepLines w:val="0"/>
        <w:pageBreakBefore w:val="0"/>
        <w:widowControl w:val="0"/>
        <w:kinsoku/>
        <w:wordWrap/>
        <w:overflowPunct/>
        <w:topLinePunct w:val="0"/>
        <w:autoSpaceDE w:val="0"/>
        <w:autoSpaceDN w:val="0"/>
        <w:bidi w:val="0"/>
        <w:adjustRightInd/>
        <w:snapToGrid/>
        <w:spacing w:line="600" w:lineRule="exact"/>
        <w:ind w:firstLine="643" w:firstLineChars="200"/>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贵公司治理层（以下简称治理层）负责监督贵公司的财务报告过程。</w:t>
      </w:r>
    </w:p>
    <w:p>
      <w:pPr>
        <w:pStyle w:val="7"/>
        <w:keepNext w:val="0"/>
        <w:keepLines w:val="0"/>
        <w:pageBreakBefore w:val="0"/>
        <w:widowControl w:val="0"/>
        <w:tabs>
          <w:tab w:val="left" w:pos="1555"/>
        </w:tabs>
        <w:kinsoku/>
        <w:wordWrap/>
        <w:overflowPunct/>
        <w:topLinePunct w:val="0"/>
        <w:bidi w:val="0"/>
        <w:adjustRightInd/>
        <w:snapToGrid/>
        <w:spacing w:line="600" w:lineRule="exact"/>
        <w:ind w:firstLine="643" w:firstLineChars="200"/>
        <w:textAlignment w:val="auto"/>
        <w:rPr>
          <w:rFonts w:hint="default" w:ascii="Times New Roman" w:hAnsi="Times New Roman" w:eastAsia="方正楷体简体" w:cs="Times New Roman"/>
          <w:b/>
          <w:bCs/>
          <w:sz w:val="32"/>
          <w:szCs w:val="32"/>
          <w:lang w:val="en-US"/>
        </w:rPr>
      </w:pPr>
      <w:r>
        <w:rPr>
          <w:rFonts w:hint="default" w:ascii="Times New Roman" w:hAnsi="Times New Roman" w:eastAsia="方正楷体简体" w:cs="Times New Roman"/>
          <w:b/>
          <w:bCs/>
          <w:sz w:val="32"/>
          <w:szCs w:val="32"/>
          <w:lang w:val="en-US"/>
        </w:rPr>
        <w:t>（四）注册会计师对财务报表审计的责任</w:t>
      </w:r>
    </w:p>
    <w:p>
      <w:pPr>
        <w:keepNext w:val="0"/>
        <w:keepLines w:val="0"/>
        <w:pageBreakBefore w:val="0"/>
        <w:widowControl w:val="0"/>
        <w:kinsoku/>
        <w:wordWrap/>
        <w:overflowPunct/>
        <w:topLinePunct w:val="0"/>
        <w:autoSpaceDE w:val="0"/>
        <w:autoSpaceDN w:val="0"/>
        <w:bidi w:val="0"/>
        <w:adjustRightInd/>
        <w:snapToGrid/>
        <w:spacing w:line="600" w:lineRule="exact"/>
        <w:ind w:firstLine="643" w:firstLineChars="200"/>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我们的目标是对财务报表整体是否不存在由于舞弊或错误导政的重大错报获取合理保证，并出具包含审计意见的审计报告。合理保证是高水平的保证，但并不能保证按照审计准則执行的审计在某一重大错报存在时总能发现。错报可能由于舞弊或错误所导致,如果合理预期错报单独或汇总起来可能影响财务报表使用者依据财务报表作出的经济决策。则适常认为错报是重大的。</w:t>
      </w:r>
    </w:p>
    <w:p>
      <w:pPr>
        <w:keepNext w:val="0"/>
        <w:keepLines w:val="0"/>
        <w:pageBreakBefore w:val="0"/>
        <w:widowControl w:val="0"/>
        <w:kinsoku/>
        <w:wordWrap/>
        <w:overflowPunct/>
        <w:topLinePunct w:val="0"/>
        <w:autoSpaceDE w:val="0"/>
        <w:autoSpaceDN w:val="0"/>
        <w:bidi w:val="0"/>
        <w:adjustRightInd/>
        <w:snapToGrid/>
        <w:spacing w:line="600" w:lineRule="exact"/>
        <w:ind w:firstLine="643" w:firstLineChars="200"/>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在按照审计准则执行审计的过程中，我们运用职业判断，并保持职业怀疑。同时，我们也执行以下工作：</w:t>
      </w:r>
    </w:p>
    <w:p>
      <w:pPr>
        <w:keepNext w:val="0"/>
        <w:keepLines w:val="0"/>
        <w:pageBreakBefore w:val="0"/>
        <w:widowControl w:val="0"/>
        <w:kinsoku/>
        <w:wordWrap/>
        <w:overflowPunct/>
        <w:topLinePunct w:val="0"/>
        <w:autoSpaceDE w:val="0"/>
        <w:autoSpaceDN w:val="0"/>
        <w:bidi w:val="0"/>
        <w:adjustRightInd/>
        <w:snapToGrid/>
        <w:spacing w:line="600" w:lineRule="exact"/>
        <w:ind w:firstLine="643" w:firstLineChars="200"/>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1</w:t>
      </w:r>
      <w:r>
        <w:rPr>
          <w:rFonts w:hint="eastAsia" w:ascii="Times New Roman" w:hAnsi="Times New Roman" w:eastAsia="方正仿宋简体" w:cs="Times New Roman"/>
          <w:b/>
          <w:bCs/>
          <w:sz w:val="32"/>
          <w:szCs w:val="32"/>
          <w:lang w:val="en-US" w:eastAsia="zh-CN"/>
        </w:rPr>
        <w:t>.</w:t>
      </w:r>
      <w:r>
        <w:rPr>
          <w:rFonts w:hint="default" w:ascii="Times New Roman" w:hAnsi="Times New Roman" w:eastAsia="方正仿宋简体" w:cs="Times New Roman"/>
          <w:b/>
          <w:bCs/>
          <w:sz w:val="32"/>
          <w:szCs w:val="32"/>
        </w:rPr>
        <w:t>识别和评估由于舞弊或错误导致的财务报表重大错报风险，设计和实施审计程序以应对这些风险，并获取充分、适当的审计证据，作为发表审计意见的基础。由于舞弊可能涉及串通、伪适、故意遗漏、虚假陈述或凌驾于内部控制之上，未能发现由于舞弊导致的重大错报的风险高于未能发现由于错误导致的重大错报的风险。</w:t>
      </w:r>
    </w:p>
    <w:p>
      <w:pPr>
        <w:keepNext w:val="0"/>
        <w:keepLines w:val="0"/>
        <w:pageBreakBefore w:val="0"/>
        <w:widowControl w:val="0"/>
        <w:kinsoku/>
        <w:wordWrap/>
        <w:overflowPunct/>
        <w:topLinePunct w:val="0"/>
        <w:autoSpaceDE w:val="0"/>
        <w:autoSpaceDN w:val="0"/>
        <w:bidi w:val="0"/>
        <w:adjustRightInd/>
        <w:snapToGrid/>
        <w:spacing w:line="600" w:lineRule="exact"/>
        <w:ind w:firstLine="643" w:firstLineChars="200"/>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2</w:t>
      </w:r>
      <w:r>
        <w:rPr>
          <w:rFonts w:hint="eastAsia" w:ascii="Times New Roman" w:hAnsi="Times New Roman" w:eastAsia="方正仿宋简体" w:cs="Times New Roman"/>
          <w:b/>
          <w:bCs/>
          <w:sz w:val="32"/>
          <w:szCs w:val="32"/>
          <w:lang w:val="en-US" w:eastAsia="zh-CN"/>
        </w:rPr>
        <w:t>.</w:t>
      </w:r>
      <w:r>
        <w:rPr>
          <w:rFonts w:hint="default" w:ascii="Times New Roman" w:hAnsi="Times New Roman" w:eastAsia="方正仿宋简体" w:cs="Times New Roman"/>
          <w:b/>
          <w:bCs/>
          <w:sz w:val="32"/>
          <w:szCs w:val="32"/>
        </w:rPr>
        <w:t>了解与审计相关的内部控制，以设计恰当的审计程序。</w:t>
      </w:r>
    </w:p>
    <w:p>
      <w:pPr>
        <w:keepNext w:val="0"/>
        <w:keepLines w:val="0"/>
        <w:pageBreakBefore w:val="0"/>
        <w:widowControl w:val="0"/>
        <w:kinsoku/>
        <w:wordWrap/>
        <w:overflowPunct/>
        <w:topLinePunct w:val="0"/>
        <w:autoSpaceDE w:val="0"/>
        <w:autoSpaceDN w:val="0"/>
        <w:bidi w:val="0"/>
        <w:adjustRightInd/>
        <w:snapToGrid/>
        <w:spacing w:line="600" w:lineRule="exact"/>
        <w:ind w:firstLine="643" w:firstLineChars="200"/>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3</w:t>
      </w:r>
      <w:r>
        <w:rPr>
          <w:rFonts w:hint="eastAsia" w:ascii="Times New Roman" w:hAnsi="Times New Roman" w:eastAsia="方正仿宋简体" w:cs="Times New Roman"/>
          <w:b/>
          <w:bCs/>
          <w:sz w:val="32"/>
          <w:szCs w:val="32"/>
          <w:lang w:val="en-US" w:eastAsia="zh-CN"/>
        </w:rPr>
        <w:t>.</w:t>
      </w:r>
      <w:r>
        <w:rPr>
          <w:rFonts w:hint="default" w:ascii="Times New Roman" w:hAnsi="Times New Roman" w:eastAsia="方正仿宋简体" w:cs="Times New Roman"/>
          <w:b/>
          <w:bCs/>
          <w:sz w:val="32"/>
          <w:szCs w:val="32"/>
        </w:rPr>
        <w:t>评价管理层选用会计政策的恰当性和作出会计估计及相关披露的合理性。</w:t>
      </w:r>
    </w:p>
    <w:p>
      <w:pPr>
        <w:keepNext w:val="0"/>
        <w:keepLines w:val="0"/>
        <w:pageBreakBefore w:val="0"/>
        <w:widowControl w:val="0"/>
        <w:kinsoku/>
        <w:wordWrap/>
        <w:overflowPunct/>
        <w:topLinePunct w:val="0"/>
        <w:autoSpaceDE w:val="0"/>
        <w:autoSpaceDN w:val="0"/>
        <w:bidi w:val="0"/>
        <w:adjustRightInd/>
        <w:snapToGrid/>
        <w:spacing w:line="600" w:lineRule="exact"/>
        <w:ind w:firstLine="643" w:firstLineChars="200"/>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4</w:t>
      </w:r>
      <w:r>
        <w:rPr>
          <w:rFonts w:hint="eastAsia" w:ascii="Times New Roman" w:hAnsi="Times New Roman" w:eastAsia="方正仿宋简体" w:cs="Times New Roman"/>
          <w:b/>
          <w:bCs/>
          <w:sz w:val="32"/>
          <w:szCs w:val="32"/>
          <w:lang w:val="en-US" w:eastAsia="zh-CN"/>
        </w:rPr>
        <w:t>.</w:t>
      </w:r>
      <w:r>
        <w:rPr>
          <w:rFonts w:hint="default" w:ascii="Times New Roman" w:hAnsi="Times New Roman" w:eastAsia="方正仿宋简体" w:cs="Times New Roman"/>
          <w:b/>
          <w:bCs/>
          <w:sz w:val="32"/>
          <w:szCs w:val="32"/>
        </w:rPr>
        <w:t>对管理层使用持续经营假设的恰当性得出结论。同时，根据获取的审计证据，就可能导致对贵会司持续经营能力产生重大疑虑的事项或情况是否存在重大不确定性得出结论。如果我们得出结论认为存在重大不确定性，审计准则要求我们在审计报告中提请报表使用者注意财务报表中的相关露；如果被露不充分，我们应当发表非无保留意见。我们的结论基于截至审计报告日可获得的信息。然而,未来的事项或情况可能导致贵公司不能持续经营。</w:t>
      </w:r>
    </w:p>
    <w:p>
      <w:pPr>
        <w:keepNext w:val="0"/>
        <w:keepLines w:val="0"/>
        <w:pageBreakBefore w:val="0"/>
        <w:widowControl w:val="0"/>
        <w:kinsoku/>
        <w:wordWrap/>
        <w:overflowPunct/>
        <w:topLinePunct w:val="0"/>
        <w:autoSpaceDE w:val="0"/>
        <w:autoSpaceDN w:val="0"/>
        <w:bidi w:val="0"/>
        <w:adjustRightInd/>
        <w:snapToGrid/>
        <w:spacing w:line="600" w:lineRule="exact"/>
        <w:ind w:firstLine="643" w:firstLineChars="200"/>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5</w:t>
      </w:r>
      <w:r>
        <w:rPr>
          <w:rFonts w:hint="eastAsia" w:ascii="Times New Roman" w:hAnsi="Times New Roman" w:eastAsia="方正仿宋简体" w:cs="Times New Roman"/>
          <w:b/>
          <w:bCs/>
          <w:sz w:val="32"/>
          <w:szCs w:val="32"/>
          <w:lang w:val="en-US" w:eastAsia="zh-CN"/>
        </w:rPr>
        <w:t>.</w:t>
      </w:r>
      <w:bookmarkStart w:id="0" w:name="_GoBack"/>
      <w:bookmarkEnd w:id="0"/>
      <w:r>
        <w:rPr>
          <w:rFonts w:hint="default" w:ascii="Times New Roman" w:hAnsi="Times New Roman" w:eastAsia="方正仿宋简体" w:cs="Times New Roman"/>
          <w:b/>
          <w:bCs/>
          <w:sz w:val="32"/>
          <w:szCs w:val="32"/>
        </w:rPr>
        <w:t>评价财务报表的总体列报、结构和内容，并评价财务报表是否公允反映相关交易和事项。</w:t>
      </w:r>
    </w:p>
    <w:p>
      <w:pPr>
        <w:keepNext w:val="0"/>
        <w:keepLines w:val="0"/>
        <w:pageBreakBefore w:val="0"/>
        <w:widowControl w:val="0"/>
        <w:kinsoku/>
        <w:wordWrap/>
        <w:overflowPunct/>
        <w:topLinePunct w:val="0"/>
        <w:autoSpaceDE w:val="0"/>
        <w:autoSpaceDN w:val="0"/>
        <w:bidi w:val="0"/>
        <w:adjustRightInd/>
        <w:snapToGrid/>
        <w:spacing w:line="600" w:lineRule="exact"/>
        <w:ind w:firstLine="643" w:firstLineChars="200"/>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我们与治理层就计划的审计范围、时间安排和重大事计发现等事项进行沟通，包括沟通我们在审计中识别出的值得关注的内部控制缺陷。</w:t>
      </w:r>
    </w:p>
    <w:p>
      <w:pPr>
        <w:pStyle w:val="7"/>
        <w:numPr>
          <w:ilvl w:val="0"/>
          <w:numId w:val="1"/>
        </w:numPr>
        <w:tabs>
          <w:tab w:val="left" w:pos="1624"/>
        </w:tabs>
        <w:spacing w:line="600" w:lineRule="exact"/>
        <w:ind w:firstLine="643" w:firstLineChars="200"/>
        <w:rPr>
          <w:rFonts w:hint="default" w:ascii="Times New Roman" w:hAnsi="Times New Roman" w:eastAsia="方正黑体简体" w:cs="Times New Roman"/>
          <w:b/>
          <w:bCs/>
          <w:color w:val="000000"/>
          <w:sz w:val="32"/>
          <w:szCs w:val="32"/>
          <w:lang w:val="en-US" w:eastAsia="zh-CN"/>
        </w:rPr>
      </w:pPr>
      <w:r>
        <w:rPr>
          <w:rFonts w:hint="default" w:ascii="Times New Roman" w:hAnsi="Times New Roman" w:eastAsia="方正黑体简体" w:cs="Times New Roman"/>
          <w:b/>
          <w:bCs/>
          <w:sz w:val="32"/>
          <w:szCs w:val="32"/>
          <w:lang w:val="en-US" w:eastAsia="zh-CN"/>
        </w:rPr>
        <w:t>经理会</w:t>
      </w:r>
      <w:r>
        <w:rPr>
          <w:rFonts w:hint="default" w:ascii="Times New Roman" w:hAnsi="Times New Roman" w:eastAsia="方正黑体简体" w:cs="Times New Roman"/>
          <w:b/>
          <w:bCs/>
          <w:color w:val="000000"/>
          <w:sz w:val="32"/>
          <w:szCs w:val="32"/>
          <w:lang w:val="en-US" w:eastAsia="zh-CN"/>
        </w:rPr>
        <w:t>报告摘要</w:t>
      </w:r>
    </w:p>
    <w:p>
      <w:pPr>
        <w:autoSpaceDE w:val="0"/>
        <w:autoSpaceDN w:val="0"/>
        <w:spacing w:line="600" w:lineRule="exact"/>
        <w:ind w:firstLine="643" w:firstLineChars="200"/>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202</w:t>
      </w:r>
      <w:r>
        <w:rPr>
          <w:rFonts w:hint="default" w:ascii="Times New Roman" w:hAnsi="Times New Roman" w:eastAsia="方正仿宋简体" w:cs="Times New Roman"/>
          <w:b/>
          <w:bCs/>
          <w:sz w:val="32"/>
          <w:szCs w:val="32"/>
          <w:lang w:val="en-US" w:eastAsia="zh-CN"/>
        </w:rPr>
        <w:t>5</w:t>
      </w:r>
      <w:r>
        <w:rPr>
          <w:rFonts w:hint="default" w:ascii="Times New Roman" w:hAnsi="Times New Roman" w:eastAsia="方正仿宋简体" w:cs="Times New Roman"/>
          <w:b/>
          <w:bCs/>
          <w:sz w:val="32"/>
          <w:szCs w:val="32"/>
        </w:rPr>
        <w:t>年，公司总经理办公会严格依法依规依程序组织召开会议</w:t>
      </w:r>
      <w:r>
        <w:rPr>
          <w:rFonts w:hint="default" w:ascii="Times New Roman" w:hAnsi="Times New Roman" w:eastAsia="方正仿宋简体" w:cs="Times New Roman"/>
          <w:b/>
          <w:bCs/>
          <w:sz w:val="32"/>
          <w:szCs w:val="32"/>
          <w:lang w:val="en-US" w:eastAsia="zh-CN"/>
        </w:rPr>
        <w:t>13</w:t>
      </w:r>
      <w:r>
        <w:rPr>
          <w:rFonts w:hint="default" w:ascii="Times New Roman" w:hAnsi="Times New Roman" w:eastAsia="方正仿宋简体" w:cs="Times New Roman"/>
          <w:b/>
          <w:bCs/>
          <w:sz w:val="32"/>
          <w:szCs w:val="32"/>
        </w:rPr>
        <w:t>次，审议通过涉及安全生产、春防试验、评标专家入库、物资采购、设备设施维修养护、</w:t>
      </w:r>
      <w:r>
        <w:rPr>
          <w:rFonts w:hint="default" w:ascii="Times New Roman" w:hAnsi="Times New Roman" w:eastAsia="方正仿宋简体" w:cs="Times New Roman"/>
          <w:b/>
          <w:bCs/>
          <w:sz w:val="32"/>
          <w:szCs w:val="32"/>
          <w:lang w:val="en-US" w:eastAsia="zh-CN"/>
        </w:rPr>
        <w:t>职工体检、水质检测、</w:t>
      </w:r>
      <w:r>
        <w:rPr>
          <w:rFonts w:hint="default" w:ascii="Times New Roman" w:hAnsi="Times New Roman" w:eastAsia="方正仿宋简体" w:cs="Times New Roman"/>
          <w:b/>
          <w:bCs/>
          <w:color w:val="000000"/>
          <w:sz w:val="32"/>
          <w:szCs w:val="32"/>
          <w:lang w:val="en-US" w:eastAsia="zh-CN" w:bidi="zh-TW"/>
        </w:rPr>
        <w:t>管理体系评审、</w:t>
      </w:r>
      <w:r>
        <w:rPr>
          <w:rFonts w:hint="default" w:ascii="Times New Roman" w:hAnsi="Times New Roman" w:eastAsia="方正仿宋简体" w:cs="Times New Roman"/>
          <w:b/>
          <w:bCs/>
          <w:sz w:val="32"/>
          <w:szCs w:val="32"/>
        </w:rPr>
        <w:t>财务预算等</w:t>
      </w:r>
      <w:r>
        <w:rPr>
          <w:rFonts w:hint="default" w:ascii="Times New Roman" w:hAnsi="Times New Roman" w:eastAsia="方正仿宋简体" w:cs="Times New Roman"/>
          <w:b/>
          <w:bCs/>
          <w:sz w:val="32"/>
          <w:szCs w:val="32"/>
          <w:lang w:val="en-US" w:eastAsia="zh-CN"/>
        </w:rPr>
        <w:t>35</w:t>
      </w:r>
      <w:r>
        <w:rPr>
          <w:rFonts w:hint="default" w:ascii="Times New Roman" w:hAnsi="Times New Roman" w:eastAsia="方正仿宋简体" w:cs="Times New Roman"/>
          <w:b/>
          <w:bCs/>
          <w:sz w:val="32"/>
          <w:szCs w:val="32"/>
        </w:rPr>
        <w:t>项重要议题。会议均严格按照项目负责人汇报、集体审议、共同表决的决策制度。严格执行议事流程，一是议题分级‌：常规事项议题、重要事项议题；二是审议材料管控‌：需上会研究材料提前汇总上报，超时未上报本月不予审议；三是决策闭环‌：每项决议需明确“责任人+成果验收”；四是特殊议程‌：涉及“三重一大”事项应提前征求集团党委会的意见及建议。</w:t>
      </w:r>
    </w:p>
    <w:p>
      <w:pPr>
        <w:spacing w:line="600" w:lineRule="exact"/>
        <w:ind w:firstLine="643" w:firstLineChars="200"/>
        <w:rPr>
          <w:rFonts w:hint="default" w:ascii="Times New Roman" w:hAnsi="Times New Roman" w:eastAsia="方正黑体简体" w:cs="Times New Roman"/>
          <w:b/>
          <w:bCs/>
          <w:sz w:val="32"/>
          <w:szCs w:val="32"/>
        </w:rPr>
      </w:pPr>
      <w:r>
        <w:rPr>
          <w:rFonts w:hint="default" w:ascii="Times New Roman" w:hAnsi="Times New Roman" w:eastAsia="方正黑体简体" w:cs="Times New Roman"/>
          <w:b/>
          <w:bCs/>
          <w:color w:val="000000"/>
          <w:sz w:val="32"/>
          <w:szCs w:val="32"/>
        </w:rPr>
        <w:t>六、年度内发生的重大事项及对公司的影响</w:t>
      </w:r>
    </w:p>
    <w:p>
      <w:pPr>
        <w:pStyle w:val="7"/>
        <w:spacing w:line="600" w:lineRule="exact"/>
        <w:ind w:firstLine="643" w:firstLineChars="200"/>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color w:val="000000"/>
          <w:sz w:val="32"/>
          <w:szCs w:val="32"/>
          <w:lang w:val="en-US" w:eastAsia="zh-CN"/>
        </w:rPr>
        <w:t>无。</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embedRegular r:id="rId1" w:fontKey="{18E0DBC9-72CF-4B2E-9811-83727B75D98C}"/>
  </w:font>
  <w:font w:name="方正黑体简体">
    <w:panose1 w:val="02000000000000000000"/>
    <w:charset w:val="86"/>
    <w:family w:val="script"/>
    <w:pitch w:val="default"/>
    <w:sig w:usb0="A00002BF" w:usb1="184F6CFA" w:usb2="00000012" w:usb3="00000000" w:csb0="00040001" w:csb1="00000000"/>
    <w:embedRegular r:id="rId2" w:fontKey="{91D6011A-F12B-44C8-BE8B-2D60E89CC656}"/>
  </w:font>
  <w:font w:name="方正仿宋简体">
    <w:panose1 w:val="02000000000000000000"/>
    <w:charset w:val="86"/>
    <w:family w:val="auto"/>
    <w:pitch w:val="default"/>
    <w:sig w:usb0="A00002BF" w:usb1="184F6CFA" w:usb2="00000012" w:usb3="00000000" w:csb0="00040001" w:csb1="00000000"/>
    <w:embedRegular r:id="rId3" w:fontKey="{6ADD828A-FAF8-49AD-AF8B-32AE57217F34}"/>
  </w:font>
  <w:font w:name="方正楷体简体">
    <w:panose1 w:val="02000000000000000000"/>
    <w:charset w:val="86"/>
    <w:family w:val="script"/>
    <w:pitch w:val="default"/>
    <w:sig w:usb0="A00002BF" w:usb1="184F6CFA" w:usb2="00000012" w:usb3="00000000" w:csb0="00040001" w:csb1="00000000"/>
    <w:embedRegular r:id="rId4" w:fontKey="{26A0D74B-A729-4ACC-8E5F-E35F3A5E7C37}"/>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4BD7BCE"/>
    <w:multiLevelType w:val="singleLevel"/>
    <w:tmpl w:val="F4BD7BCE"/>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RlNTlkMmJlMmUxZDUwYzA1MDA0NzA2NGFhN2RiMWUifQ=="/>
  </w:docVars>
  <w:rsids>
    <w:rsidRoot w:val="0049274D"/>
    <w:rsid w:val="00294C75"/>
    <w:rsid w:val="002D7F90"/>
    <w:rsid w:val="00356192"/>
    <w:rsid w:val="0049274D"/>
    <w:rsid w:val="005953D1"/>
    <w:rsid w:val="006A0246"/>
    <w:rsid w:val="00981A4B"/>
    <w:rsid w:val="00FB0429"/>
    <w:rsid w:val="04A844E4"/>
    <w:rsid w:val="04D728EB"/>
    <w:rsid w:val="06A51477"/>
    <w:rsid w:val="072C40A6"/>
    <w:rsid w:val="080E095B"/>
    <w:rsid w:val="0BAF67CA"/>
    <w:rsid w:val="0D2E7AC3"/>
    <w:rsid w:val="13AE616E"/>
    <w:rsid w:val="20ED3B94"/>
    <w:rsid w:val="240634B2"/>
    <w:rsid w:val="25587FAA"/>
    <w:rsid w:val="28AA222B"/>
    <w:rsid w:val="2A7464BE"/>
    <w:rsid w:val="3313090F"/>
    <w:rsid w:val="35B5220F"/>
    <w:rsid w:val="3AB4755E"/>
    <w:rsid w:val="3ACB6C0E"/>
    <w:rsid w:val="40EB7E95"/>
    <w:rsid w:val="418F6A8A"/>
    <w:rsid w:val="48C43A90"/>
    <w:rsid w:val="4CB66B41"/>
    <w:rsid w:val="538B277B"/>
    <w:rsid w:val="5488307C"/>
    <w:rsid w:val="54973A8B"/>
    <w:rsid w:val="54CC5B55"/>
    <w:rsid w:val="578B441D"/>
    <w:rsid w:val="58DB4375"/>
    <w:rsid w:val="5A231E63"/>
    <w:rsid w:val="633A3BD0"/>
    <w:rsid w:val="64AE3C76"/>
    <w:rsid w:val="64D11F7B"/>
    <w:rsid w:val="66E14363"/>
    <w:rsid w:val="695F606D"/>
    <w:rsid w:val="69B12712"/>
    <w:rsid w:val="6B241DB7"/>
    <w:rsid w:val="6B756129"/>
    <w:rsid w:val="74026044"/>
    <w:rsid w:val="76F1414E"/>
    <w:rsid w:val="79334EF2"/>
    <w:rsid w:val="7CC607AC"/>
    <w:rsid w:val="7E394D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Title"/>
    <w:basedOn w:val="1"/>
    <w:next w:val="1"/>
    <w:qFormat/>
    <w:uiPriority w:val="0"/>
    <w:pPr>
      <w:keepLines/>
      <w:pageBreakBefore/>
      <w:spacing w:before="240" w:after="120"/>
      <w:jc w:val="center"/>
      <w:outlineLvl w:val="0"/>
    </w:pPr>
    <w:rPr>
      <w:rFonts w:eastAsia="黑体"/>
      <w:b/>
      <w:sz w:val="36"/>
    </w:rPr>
  </w:style>
  <w:style w:type="paragraph" w:styleId="3">
    <w:name w:val="footer"/>
    <w:basedOn w:val="1"/>
    <w:link w:val="9"/>
    <w:qFormat/>
    <w:uiPriority w:val="0"/>
    <w:pPr>
      <w:tabs>
        <w:tab w:val="center" w:pos="4153"/>
        <w:tab w:val="right" w:pos="8306"/>
      </w:tabs>
      <w:snapToGrid w:val="0"/>
      <w:jc w:val="left"/>
    </w:pPr>
    <w:rPr>
      <w:sz w:val="18"/>
      <w:szCs w:val="18"/>
    </w:rPr>
  </w:style>
  <w:style w:type="paragraph" w:styleId="4">
    <w:name w:val="header"/>
    <w:basedOn w:val="1"/>
    <w:link w:val="8"/>
    <w:qFormat/>
    <w:uiPriority w:val="0"/>
    <w:pPr>
      <w:tabs>
        <w:tab w:val="center" w:pos="4153"/>
        <w:tab w:val="right" w:pos="8306"/>
      </w:tabs>
      <w:snapToGrid w:val="0"/>
      <w:jc w:val="center"/>
    </w:pPr>
    <w:rPr>
      <w:sz w:val="18"/>
      <w:szCs w:val="18"/>
    </w:rPr>
  </w:style>
  <w:style w:type="paragraph" w:customStyle="1" w:styleId="7">
    <w:name w:val="Body text|1"/>
    <w:basedOn w:val="1"/>
    <w:qFormat/>
    <w:uiPriority w:val="0"/>
    <w:pPr>
      <w:spacing w:line="420" w:lineRule="auto"/>
      <w:ind w:firstLine="400"/>
    </w:pPr>
    <w:rPr>
      <w:rFonts w:ascii="宋体" w:hAnsi="宋体" w:eastAsia="宋体" w:cs="宋体"/>
      <w:sz w:val="30"/>
      <w:szCs w:val="30"/>
      <w:lang w:val="zh-TW" w:eastAsia="zh-TW" w:bidi="zh-TW"/>
    </w:rPr>
  </w:style>
  <w:style w:type="character" w:customStyle="1" w:styleId="8">
    <w:name w:val="页眉 字符"/>
    <w:basedOn w:val="6"/>
    <w:link w:val="4"/>
    <w:qFormat/>
    <w:uiPriority w:val="0"/>
    <w:rPr>
      <w:rFonts w:asciiTheme="minorHAnsi" w:hAnsiTheme="minorHAnsi" w:eastAsiaTheme="minorEastAsia" w:cstheme="minorBidi"/>
      <w:kern w:val="2"/>
      <w:sz w:val="18"/>
      <w:szCs w:val="18"/>
    </w:rPr>
  </w:style>
  <w:style w:type="character" w:customStyle="1" w:styleId="9">
    <w:name w:val="页脚 字符"/>
    <w:basedOn w:val="6"/>
    <w:link w:val="3"/>
    <w:qFormat/>
    <w:uiPriority w:val="0"/>
    <w:rPr>
      <w:rFonts w:asciiTheme="minorHAnsi" w:hAnsiTheme="minorHAnsi" w:eastAsiaTheme="minorEastAsia" w:cstheme="minorBidi"/>
      <w:kern w:val="2"/>
      <w:sz w:val="18"/>
      <w:szCs w:val="18"/>
    </w:rPr>
  </w:style>
  <w:style w:type="paragraph" w:styleId="10">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2618</Words>
  <Characters>2715</Characters>
  <Lines>66</Lines>
  <Paragraphs>63</Paragraphs>
  <TotalTime>6</TotalTime>
  <ScaleCrop>false</ScaleCrop>
  <LinksUpToDate>false</LinksUpToDate>
  <CharactersWithSpaces>2721</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2023-08-24T04:08:00Z</dcterms:created>
  <dc:creator>联想电脑</dc:creator>
  <cp:lastModifiedBy>张娜</cp:lastModifiedBy>
  <cp:lastPrinted>2023-08-28T03:22:00Z</cp:lastPrinted>
  <dcterms:modified xsi:type="dcterms:W3CDTF">2026-06-29T03:04:22Z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y fmtid="{D5CDD505-2E9C-101B-9397-08002B2CF9AE}" pid="3" name="ICV">
    <vt:lpwstr>A61B2B42026645FF9FDF80540BC56081_13</vt:lpwstr>
  </property>
  <property fmtid="{D5CDD505-2E9C-101B-9397-08002B2CF9AE}" pid="4" name="KSOTemplateDocerSaveRecord">
    <vt:lpwstr>eyJoZGlkIjoiYzgzZDE3YjdjMWRhMTJhYmNhNjIwMDE0ZjRiMDc0YWEiLCJ1c2VySWQiOiIzNDI0Nzc0MDgifQ==</vt:lpwstr>
  </property>
</Properties>
</file>