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A7FE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jc w:val="center"/>
        <w:textAlignment w:val="auto"/>
        <w:rPr>
          <w:rFonts w:hint="default" w:ascii="Times New Roman" w:hAnsi="Times New Roman" w:eastAsia="方正小标宋简体" w:cs="Times New Roman"/>
          <w:b/>
          <w:bCs/>
          <w:sz w:val="44"/>
          <w:szCs w:val="44"/>
        </w:rPr>
      </w:pPr>
      <w:r>
        <w:rPr>
          <w:rFonts w:hint="eastAsia" w:ascii="Times New Roman" w:hAnsi="Times New Roman" w:eastAsia="方正小标宋简体" w:cs="Times New Roman"/>
          <w:b/>
          <w:bCs/>
          <w:sz w:val="44"/>
          <w:szCs w:val="44"/>
          <w:lang w:val="en-US" w:eastAsia="zh-CN"/>
        </w:rPr>
        <w:t>山东公用环保科技集团</w:t>
      </w: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</w:rPr>
        <w:t>有限公司</w:t>
      </w:r>
    </w:p>
    <w:p w14:paraId="4437C0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jc w:val="center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</w:rPr>
        <w:t>202</w:t>
      </w:r>
      <w:r>
        <w:rPr>
          <w:rFonts w:hint="eastAsia" w:ascii="Times New Roman" w:hAnsi="Times New Roman" w:eastAsia="方正小标宋简体" w:cs="Times New Roman"/>
          <w:b/>
          <w:bCs/>
          <w:sz w:val="44"/>
          <w:szCs w:val="44"/>
          <w:lang w:val="en-US" w:eastAsia="zh-CN"/>
        </w:rPr>
        <w:t>6</w:t>
      </w: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</w:rPr>
        <w:t>年</w:t>
      </w:r>
      <w:r>
        <w:rPr>
          <w:rFonts w:hint="eastAsia" w:ascii="Times New Roman" w:hAnsi="Times New Roman" w:eastAsia="方正小标宋简体" w:cs="Times New Roman"/>
          <w:b/>
          <w:bCs/>
          <w:sz w:val="44"/>
          <w:szCs w:val="44"/>
          <w:lang w:val="en-US" w:eastAsia="zh-CN"/>
        </w:rPr>
        <w:t>中期</w:t>
      </w: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</w:rPr>
        <w:t>财务</w:t>
      </w:r>
      <w:r>
        <w:rPr>
          <w:rFonts w:hint="eastAsia" w:ascii="Times New Roman" w:hAnsi="Times New Roman" w:eastAsia="方正小标宋简体" w:cs="Times New Roman"/>
          <w:b/>
          <w:bCs/>
          <w:sz w:val="44"/>
          <w:szCs w:val="44"/>
          <w:lang w:val="en-US" w:eastAsia="zh-CN"/>
        </w:rPr>
        <w:t>等</w:t>
      </w: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</w:rPr>
        <w:t>重大信息公开</w:t>
      </w:r>
    </w:p>
    <w:p w14:paraId="690C58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jc w:val="center"/>
        <w:textAlignment w:val="auto"/>
        <w:rPr>
          <w:rFonts w:hint="default" w:ascii="Times New Roman" w:hAnsi="Times New Roman" w:eastAsia="方正黑体简体" w:cs="Times New Roman"/>
          <w:b/>
          <w:bCs/>
          <w:sz w:val="32"/>
          <w:szCs w:val="32"/>
        </w:rPr>
      </w:pPr>
    </w:p>
    <w:p w14:paraId="0B4643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default" w:ascii="Times New Roman" w:hAnsi="Times New Roman" w:eastAsia="方正黑体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</w:rPr>
        <w:t xml:space="preserve">一、公司基本情况 </w:t>
      </w:r>
    </w:p>
    <w:p w14:paraId="2777BC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1.公司名称：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山东公用环保科技集团有限公司</w:t>
      </w:r>
    </w:p>
    <w:p w14:paraId="184F11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2.法定代表人：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张毅</w:t>
      </w:r>
    </w:p>
    <w:p w14:paraId="267B1C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3.注册地址：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山东省济宁市高新区柳行街道海川路9号T2楼1017室</w:t>
      </w:r>
    </w:p>
    <w:p w14:paraId="7A5904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eastAsia="zh-CN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4.经营范围：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</w:rPr>
        <w:t>许可项目：建设工程施工；建筑劳务分包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eastAsia="zh-CN"/>
        </w:rPr>
        <w:t>；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</w:rPr>
        <w:t>建设工程设计；水利工程建设监理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eastAsia="zh-CN"/>
        </w:rPr>
        <w:t>；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</w:rPr>
        <w:t>食品互联网销售；供电业务。(依法须经批准的项目，经相关部门批准后方可开展经营活动，具体经营项目以相关部门批准文件或许可证件为准)一般项目：环保咨询服务；水污染治理；技术服务、技术开发、技术咨询、技术交流、技术转让、技术推广；环境保护专用设备销售；水环境污染防 治服务；大气环境污染防治服务；土壤环境污染防治服务；土壤污染治理与修复服务；大气污染治理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eastAsia="zh-CN"/>
        </w:rPr>
        <w:t>；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</w:rPr>
        <w:t>园林绿化工程施工；住房租赁；固体废物治理；环境保护监测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eastAsia="zh-CN"/>
        </w:rPr>
        <w:t>；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</w:rPr>
        <w:t>水质污染物监测及检测仪器仪表销售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eastAsia="zh-CN"/>
        </w:rPr>
        <w:t>；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</w:rPr>
        <w:t>生态环境监测及检测仪器仪表销售；大气污染监测及检测仪器仪表销售；仪器仪表销售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eastAsia="zh-CN"/>
        </w:rPr>
        <w:t>；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</w:rPr>
        <w:t>工程和技术研究和试验发展；化工产品销售(不含许可类化工产品)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eastAsia="zh-CN"/>
        </w:rPr>
        <w:t>；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</w:rPr>
        <w:t>货物进出口；技术进出口；创业空间服务；非居住房地产租赁；机械设备租赁；普通货物仓储服务(不含危险化学品等需许可审批的项目)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eastAsia="zh-CN"/>
        </w:rPr>
        <w:t>；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</w:rPr>
        <w:t>会议及展览服务；食品添加剂销售；再生资源销售；建筑材料销售；中草药种植； 环境监测专用仪器仪表制造；环境监测专用仪器仪表销售；环境保护专用设备制造；电动汽车充电基础设施运营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eastAsia="zh-CN"/>
        </w:rPr>
        <w:t>；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</w:rPr>
        <w:t>租赁服务(不含许可类租赁服务)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eastAsia="zh-CN"/>
        </w:rPr>
        <w:t>；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</w:rPr>
        <w:t>广告设计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eastAsia="zh-CN"/>
        </w:rPr>
        <w:t>、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</w:rPr>
        <w:t>代理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eastAsia="zh-CN"/>
        </w:rPr>
        <w:t>；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</w:rPr>
        <w:t>广告制作；广告发布；停车场服务；饲料添加剂销售；食品销售(仅销售预包装食品 )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eastAsia="zh-CN"/>
        </w:rPr>
        <w:t>；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</w:rPr>
        <w:t>保健食品(预包装)销售；食品互联网销售(仅销售预包装食品)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eastAsia="zh-CN"/>
        </w:rPr>
        <w:t>；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</w:rPr>
        <w:t>食用农产品批发；食用农产品零售；水产品批发；水产品零售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eastAsia="zh-CN"/>
        </w:rPr>
        <w:t>；</w:t>
      </w:r>
      <w:bookmarkStart w:id="0" w:name="_GoBack"/>
      <w:bookmarkEnd w:id="0"/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</w:rPr>
        <w:t>专用设备制造(不含许可类专业设备制造)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eastAsia="zh-CN"/>
        </w:rPr>
        <w:t>；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</w:rPr>
        <w:t>专用仪器制造；销售代理；肥料销售；第二类医疗器械销售；饲料原料销售；生态环境材料制造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eastAsia="zh-CN"/>
        </w:rPr>
        <w:t>；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</w:rPr>
        <w:t>生态环境材料销售。(除依法须经批准的项目外，凭营业执照依法自主开展经营活动)</w:t>
      </w:r>
    </w:p>
    <w:p w14:paraId="340161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 xml:space="preserve">5.公司简介: 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山东公用环保科技集团有限公司，注册资本金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40,688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万元。公司拥有市政公用工程、建筑工程施工总承包、环保工程专业承包、水污染治理设施运维等资质，致力于为地方政府、部门和企业提供城镇、乡村和工业园区污染治理、城乡供水一体化、雨污分流、土壤修复、生态环境基础设施领域的投资、建设、运营等整体解决方案及环保技术咨询、环境监理、检验检测、检测运营等环保综合服务，开展环保新技术、新产品研发集成和示范推广，推动生态环境的改善和产业结构调整和转型升级。</w:t>
      </w:r>
    </w:p>
    <w:p w14:paraId="546292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eastAsia" w:ascii="Times New Roman" w:hAnsi="Times New Roman" w:eastAsia="方正黑体简体" w:cs="Times New Roman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Times New Roman" w:hAnsi="Times New Roman" w:eastAsia="方正黑体简体" w:cs="Times New Roman"/>
          <w:b/>
          <w:bCs/>
          <w:sz w:val="32"/>
          <w:szCs w:val="32"/>
        </w:rPr>
        <w:t>二、主要会计数据和财务指标</w:t>
      </w:r>
      <w:r>
        <w:rPr>
          <w:rFonts w:hint="eastAsia" w:ascii="Times New Roman" w:hAnsi="Times New Roman" w:eastAsia="方正黑体简体" w:cs="Times New Roman"/>
          <w:b w:val="0"/>
          <w:bCs w:val="0"/>
          <w:sz w:val="28"/>
          <w:szCs w:val="28"/>
          <w:lang w:val="en-US" w:eastAsia="zh-CN"/>
        </w:rPr>
        <w:t>（截至到2026年6月30日）</w:t>
      </w:r>
    </w:p>
    <w:p w14:paraId="08F894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jc w:val="center"/>
        <w:textAlignment w:val="auto"/>
        <w:rPr>
          <w:rFonts w:hint="eastAsia" w:ascii="Times New Roman" w:hAnsi="Times New Roman" w:eastAsia="方正黑体简体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黑体简体" w:cs="Times New Roman"/>
          <w:b w:val="0"/>
          <w:bCs w:val="0"/>
          <w:sz w:val="32"/>
          <w:szCs w:val="32"/>
          <w:lang w:val="en-US" w:eastAsia="zh-CN"/>
        </w:rPr>
        <w:t>2026年中期主要财务数据</w:t>
      </w:r>
    </w:p>
    <w:p w14:paraId="3ACE5E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7040" w:firstLineChars="2200"/>
        <w:textAlignment w:val="auto"/>
        <w:rPr>
          <w:rFonts w:hint="default" w:ascii="Times New Roman" w:hAnsi="Times New Roman" w:eastAsia="方正黑体简体" w:cs="Times New Roman"/>
          <w:sz w:val="32"/>
          <w:szCs w:val="32"/>
        </w:rPr>
      </w:pPr>
      <w:r>
        <w:rPr>
          <w:rFonts w:hint="default" w:ascii="Times New Roman" w:hAnsi="Times New Roman" w:eastAsia="方正黑体简体" w:cs="Times New Roman"/>
          <w:sz w:val="32"/>
          <w:szCs w:val="32"/>
        </w:rPr>
        <w:t>单位：万元</w:t>
      </w:r>
    </w:p>
    <w:tbl>
      <w:tblPr>
        <w:tblStyle w:val="1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54"/>
        <w:gridCol w:w="4819"/>
      </w:tblGrid>
      <w:tr w14:paraId="3AFDD0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4" w:type="dxa"/>
            <w:shd w:val="clear" w:color="auto" w:fill="auto"/>
            <w:vAlign w:val="top"/>
          </w:tcPr>
          <w:p w14:paraId="6D4738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方正黑体简体" w:hAnsi="方正黑体简体" w:eastAsia="方正黑体简体" w:cs="方正黑体简体"/>
                <w:b/>
                <w:bCs/>
                <w:sz w:val="32"/>
                <w:szCs w:val="32"/>
                <w:lang w:val="en-US" w:eastAsia="zh-CN"/>
              </w:rPr>
              <w:t>项  目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4C42E7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方正黑体简体" w:hAnsi="方正黑体简体" w:eastAsia="方正黑体简体" w:cs="方正黑体简体"/>
                <w:b/>
                <w:bCs/>
                <w:sz w:val="32"/>
                <w:szCs w:val="32"/>
                <w:lang w:val="en-US" w:eastAsia="zh-CN"/>
              </w:rPr>
              <w:t>金  额</w:t>
            </w:r>
          </w:p>
        </w:tc>
      </w:tr>
      <w:tr w14:paraId="6EF30C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4" w:type="dxa"/>
          </w:tcPr>
          <w:p w14:paraId="08CDA5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营业总收入</w:t>
            </w:r>
          </w:p>
        </w:tc>
        <w:tc>
          <w:tcPr>
            <w:tcW w:w="4819" w:type="dxa"/>
            <w:vAlign w:val="center"/>
          </w:tcPr>
          <w:p w14:paraId="5E2649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12176</w:t>
            </w:r>
          </w:p>
        </w:tc>
      </w:tr>
      <w:tr w14:paraId="3687F6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4054" w:type="dxa"/>
          </w:tcPr>
          <w:p w14:paraId="67E910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营业总成本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60A432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/>
                <w:bCs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  <w:t>13846</w:t>
            </w:r>
          </w:p>
        </w:tc>
      </w:tr>
      <w:tr w14:paraId="16EECC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4" w:type="dxa"/>
          </w:tcPr>
          <w:p w14:paraId="734EFB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利润总额</w:t>
            </w:r>
          </w:p>
        </w:tc>
        <w:tc>
          <w:tcPr>
            <w:tcW w:w="4819" w:type="dxa"/>
            <w:vAlign w:val="center"/>
          </w:tcPr>
          <w:p w14:paraId="2D612C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-1688</w:t>
            </w:r>
          </w:p>
        </w:tc>
      </w:tr>
      <w:tr w14:paraId="5184F2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4" w:type="dxa"/>
          </w:tcPr>
          <w:p w14:paraId="221D3B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净利润</w:t>
            </w:r>
          </w:p>
        </w:tc>
        <w:tc>
          <w:tcPr>
            <w:tcW w:w="4819" w:type="dxa"/>
            <w:vAlign w:val="center"/>
          </w:tcPr>
          <w:p w14:paraId="12DFC4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-1791</w:t>
            </w:r>
          </w:p>
        </w:tc>
      </w:tr>
      <w:tr w14:paraId="4E2C96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4" w:type="dxa"/>
          </w:tcPr>
          <w:p w14:paraId="03A47F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资产总额</w:t>
            </w:r>
          </w:p>
        </w:tc>
        <w:tc>
          <w:tcPr>
            <w:tcW w:w="4819" w:type="dxa"/>
            <w:vAlign w:val="center"/>
          </w:tcPr>
          <w:p w14:paraId="62D98D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205663</w:t>
            </w:r>
          </w:p>
        </w:tc>
      </w:tr>
      <w:tr w14:paraId="27C21C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4054" w:type="dxa"/>
          </w:tcPr>
          <w:p w14:paraId="0AC741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负债总额</w:t>
            </w:r>
          </w:p>
        </w:tc>
        <w:tc>
          <w:tcPr>
            <w:tcW w:w="4819" w:type="dxa"/>
            <w:vAlign w:val="center"/>
          </w:tcPr>
          <w:p w14:paraId="0A854D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189838</w:t>
            </w:r>
          </w:p>
        </w:tc>
      </w:tr>
      <w:tr w14:paraId="2DD7D5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4" w:type="dxa"/>
          </w:tcPr>
          <w:p w14:paraId="34773F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所有者权益</w:t>
            </w:r>
          </w:p>
        </w:tc>
        <w:tc>
          <w:tcPr>
            <w:tcW w:w="4819" w:type="dxa"/>
            <w:vAlign w:val="center"/>
          </w:tcPr>
          <w:p w14:paraId="48BD73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15825</w:t>
            </w:r>
          </w:p>
        </w:tc>
      </w:tr>
    </w:tbl>
    <w:p w14:paraId="084F91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default" w:ascii="Times New Roman" w:hAnsi="Times New Roman" w:eastAsia="方正黑体简体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</w:rPr>
        <w:t>三、</w:t>
      </w:r>
      <w:r>
        <w:rPr>
          <w:rFonts w:hint="eastAsia" w:ascii="Times New Roman" w:hAnsi="Times New Roman" w:eastAsia="方正黑体简体" w:cs="Times New Roman"/>
          <w:b/>
          <w:bCs/>
          <w:sz w:val="32"/>
          <w:szCs w:val="32"/>
          <w:lang w:val="en-US" w:eastAsia="zh-CN"/>
        </w:rPr>
        <w:t>2026年中期</w:t>
      </w: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</w:rPr>
        <w:t>财务预算</w:t>
      </w: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  <w:lang w:val="en-US" w:eastAsia="zh-CN"/>
        </w:rPr>
        <w:t>执行情况</w:t>
      </w:r>
    </w:p>
    <w:p w14:paraId="2B4A44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1.2026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年主要财务预算指标</w:t>
      </w:r>
    </w:p>
    <w:p w14:paraId="6130EC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营业总收入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45,340.61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万元，利润总额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700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万元。</w:t>
      </w:r>
    </w:p>
    <w:p w14:paraId="0DABF8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2.2026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年上半年财务预算执行情况</w:t>
      </w:r>
    </w:p>
    <w:p w14:paraId="1CE92D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累计实现营业总收入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12,176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万元，完成年度预算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45,340.61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万元的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26.85%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，实现利润总额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-1,688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万元，完成年度预算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700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万元的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-241.14%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。</w:t>
      </w:r>
    </w:p>
    <w:p w14:paraId="5218B3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default" w:ascii="Times New Roman" w:hAnsi="Times New Roman" w:eastAsia="方正黑体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</w:rPr>
        <w:t>四、</w:t>
      </w:r>
      <w:r>
        <w:rPr>
          <w:rFonts w:hint="eastAsia" w:ascii="Times New Roman" w:hAnsi="Times New Roman" w:eastAsia="方正黑体简体" w:cs="Times New Roman"/>
          <w:b/>
          <w:bCs/>
          <w:sz w:val="32"/>
          <w:szCs w:val="32"/>
          <w:lang w:val="en-US" w:eastAsia="zh-CN"/>
        </w:rPr>
        <w:t>中期</w:t>
      </w: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</w:rPr>
        <w:t>内重大事项及对企业的影响</w:t>
      </w:r>
    </w:p>
    <w:p w14:paraId="4059CB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无。</w:t>
      </w:r>
    </w:p>
    <w:sectPr>
      <w:pgSz w:w="11906" w:h="16838"/>
      <w:pgMar w:top="2098" w:right="1474" w:bottom="1984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黑体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ZlZWY1MTZiMTkyZjJiYmE4ZmY2NmQ4YzIyODA0ODMifQ=="/>
  </w:docVars>
  <w:rsids>
    <w:rsidRoot w:val="13CC2444"/>
    <w:rsid w:val="001410B8"/>
    <w:rsid w:val="00332EF0"/>
    <w:rsid w:val="003F77BE"/>
    <w:rsid w:val="007E3428"/>
    <w:rsid w:val="007E5379"/>
    <w:rsid w:val="00A84A13"/>
    <w:rsid w:val="00AC6AB4"/>
    <w:rsid w:val="00BC3130"/>
    <w:rsid w:val="00C455E3"/>
    <w:rsid w:val="00C65B77"/>
    <w:rsid w:val="00D321DA"/>
    <w:rsid w:val="00EA422D"/>
    <w:rsid w:val="00FC157F"/>
    <w:rsid w:val="04F419D9"/>
    <w:rsid w:val="06D05B2E"/>
    <w:rsid w:val="06DF3B7E"/>
    <w:rsid w:val="074D3623"/>
    <w:rsid w:val="07F66122"/>
    <w:rsid w:val="084B472A"/>
    <w:rsid w:val="09EC724C"/>
    <w:rsid w:val="0A444FC9"/>
    <w:rsid w:val="0CE845F5"/>
    <w:rsid w:val="0CFE215A"/>
    <w:rsid w:val="0D052EAD"/>
    <w:rsid w:val="0D6D5D2C"/>
    <w:rsid w:val="103E05DD"/>
    <w:rsid w:val="13CC2444"/>
    <w:rsid w:val="15D840D8"/>
    <w:rsid w:val="17852965"/>
    <w:rsid w:val="180477A4"/>
    <w:rsid w:val="19560A59"/>
    <w:rsid w:val="1C496371"/>
    <w:rsid w:val="21B657DB"/>
    <w:rsid w:val="21EA12B6"/>
    <w:rsid w:val="222866C7"/>
    <w:rsid w:val="282E6A1C"/>
    <w:rsid w:val="295D11E9"/>
    <w:rsid w:val="29D47C5C"/>
    <w:rsid w:val="2A4822AF"/>
    <w:rsid w:val="2D9F5C7A"/>
    <w:rsid w:val="32546394"/>
    <w:rsid w:val="33A670F3"/>
    <w:rsid w:val="35D9381B"/>
    <w:rsid w:val="35FA4023"/>
    <w:rsid w:val="36545584"/>
    <w:rsid w:val="373830F8"/>
    <w:rsid w:val="3C310EF6"/>
    <w:rsid w:val="3F6A64F8"/>
    <w:rsid w:val="40E1715D"/>
    <w:rsid w:val="419C0824"/>
    <w:rsid w:val="437234EE"/>
    <w:rsid w:val="44244964"/>
    <w:rsid w:val="486F44A0"/>
    <w:rsid w:val="4D16313C"/>
    <w:rsid w:val="4E4800DD"/>
    <w:rsid w:val="50DE6667"/>
    <w:rsid w:val="55D91A6E"/>
    <w:rsid w:val="56967F08"/>
    <w:rsid w:val="56D71B8E"/>
    <w:rsid w:val="57404164"/>
    <w:rsid w:val="58695F75"/>
    <w:rsid w:val="59EC48C6"/>
    <w:rsid w:val="5B6069F0"/>
    <w:rsid w:val="5BFB631F"/>
    <w:rsid w:val="5C83014D"/>
    <w:rsid w:val="5D1E71F9"/>
    <w:rsid w:val="5D75511C"/>
    <w:rsid w:val="5E145AF2"/>
    <w:rsid w:val="5F277EDC"/>
    <w:rsid w:val="5F372BCB"/>
    <w:rsid w:val="5F412942"/>
    <w:rsid w:val="60785E58"/>
    <w:rsid w:val="668D3B2B"/>
    <w:rsid w:val="678437B5"/>
    <w:rsid w:val="67AC671F"/>
    <w:rsid w:val="683E75F2"/>
    <w:rsid w:val="6C18520F"/>
    <w:rsid w:val="6CF238C8"/>
    <w:rsid w:val="6DCC0B2E"/>
    <w:rsid w:val="70C1078D"/>
    <w:rsid w:val="716A38D3"/>
    <w:rsid w:val="72D94FAB"/>
    <w:rsid w:val="7451111C"/>
    <w:rsid w:val="75D26FF0"/>
    <w:rsid w:val="775A30EF"/>
    <w:rsid w:val="79D949B7"/>
    <w:rsid w:val="7C127041"/>
    <w:rsid w:val="7C9B5288"/>
    <w:rsid w:val="7DC70245"/>
    <w:rsid w:val="7FC25A17"/>
    <w:rsid w:val="7FC82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1"/>
    <w:qFormat/>
    <w:uiPriority w:val="0"/>
    <w:pPr>
      <w:ind w:firstLine="420" w:firstLineChars="200"/>
    </w:pPr>
  </w:style>
  <w:style w:type="paragraph" w:styleId="3">
    <w:name w:val="Body Text"/>
    <w:basedOn w:val="1"/>
    <w:next w:val="4"/>
    <w:qFormat/>
    <w:uiPriority w:val="0"/>
  </w:style>
  <w:style w:type="paragraph" w:styleId="4">
    <w:name w:val="Body Text First Indent 2"/>
    <w:basedOn w:val="5"/>
    <w:next w:val="1"/>
    <w:qFormat/>
    <w:uiPriority w:val="99"/>
    <w:pPr>
      <w:ind w:firstLine="420" w:firstLineChars="200"/>
    </w:pPr>
  </w:style>
  <w:style w:type="paragraph" w:styleId="5">
    <w:name w:val="Body Text Indent"/>
    <w:basedOn w:val="1"/>
    <w:next w:val="2"/>
    <w:unhideWhenUsed/>
    <w:qFormat/>
    <w:uiPriority w:val="99"/>
    <w:pPr>
      <w:ind w:left="420" w:leftChars="200"/>
    </w:pPr>
  </w:style>
  <w:style w:type="paragraph" w:styleId="6">
    <w:name w:val="footer"/>
    <w:basedOn w:val="1"/>
    <w:link w:val="1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Body Text First Indent"/>
    <w:basedOn w:val="3"/>
    <w:qFormat/>
    <w:uiPriority w:val="0"/>
    <w:pPr>
      <w:ind w:firstLine="420" w:firstLineChars="100"/>
    </w:p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2">
    <w:name w:val="页眉 字符"/>
    <w:basedOn w:val="11"/>
    <w:link w:val="7"/>
    <w:qFormat/>
    <w:uiPriority w:val="0"/>
    <w:rPr>
      <w:kern w:val="2"/>
      <w:sz w:val="18"/>
      <w:szCs w:val="18"/>
    </w:rPr>
  </w:style>
  <w:style w:type="character" w:customStyle="1" w:styleId="13">
    <w:name w:val="页脚 字符"/>
    <w:basedOn w:val="11"/>
    <w:link w:val="6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1211</Words>
  <Characters>1320</Characters>
  <Lines>5</Lines>
  <Paragraphs>1</Paragraphs>
  <TotalTime>0</TotalTime>
  <ScaleCrop>false</ScaleCrop>
  <LinksUpToDate>false</LinksUpToDate>
  <CharactersWithSpaces>1329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2022-06-30T02:09:00Z</dcterms:created>
  <dc:creator>Mr.X</dc:creator>
  <cp:lastModifiedBy>王海鹏</cp:lastModifiedBy>
  <cp:lastPrinted>2026-08-20T06:48:00Z</cp:lastPrinted>
  <dcterms:modified xsi:type="dcterms:W3CDTF">2026-08-28T00:44:57Z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584FCA90A001476DB9F4B5B1EE667423_13</vt:lpwstr>
  </property>
  <property fmtid="{D5CDD505-2E9C-101B-9397-08002B2CF9AE}" pid="4" name="KSOTemplateDocerSaveRecord">
    <vt:lpwstr>eyJoZGlkIjoiYzgzZDE3YjdjMWRhMTJhYmNhNjIwMDE0ZjRiMDc0YWEiLCJ1c2VySWQiOiIzNDI0Nzc0MDgifQ==</vt:lpwstr>
  </property>
</Properties>
</file>