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A0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山东公用水利发展集团有限公司</w:t>
      </w:r>
    </w:p>
    <w:p w14:paraId="706CB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14CD4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</w:p>
    <w:p w14:paraId="45DB4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公司基本情况</w:t>
      </w:r>
    </w:p>
    <w:p w14:paraId="1A007EAC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山东公用水利发展集团有限公司</w:t>
      </w:r>
    </w:p>
    <w:p w14:paraId="6CD5F45A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2.法定代表人：杨凤军</w:t>
      </w:r>
      <w:bookmarkStart w:id="0" w:name="_GoBack"/>
      <w:bookmarkEnd w:id="0"/>
    </w:p>
    <w:p w14:paraId="6716B56B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注册地址：济宁市共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青团路14号健身广场综合楼12-14楼</w:t>
      </w:r>
    </w:p>
    <w:p w14:paraId="13A7C151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经营范围：许可项目：建设工程设计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建设工程勘察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建设工程施工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测绘服务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建筑物拆除作业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爆破作业除外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依法须经批准的项目，经相关部门批准后方可开展经营活动，具体经营项目以相关部门批准文件或许可证件为准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）。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一般项目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：园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林绿化工程施工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工程管理服务。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除依法须经批准的项目外，凭营业执照依法自主开展经营活动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。</w:t>
      </w:r>
    </w:p>
    <w:p w14:paraId="37DFF636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5.公司简介：</w:t>
      </w:r>
    </w:p>
    <w:p w14:paraId="51D3223D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山东公用水利发展集团有限公司（原名济宁市水利工程施工公司），为山东公用控股有限公司权属公司，注册资本10000万元，水发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集团下设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个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权属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子公司。拥有水利水电工程施工总承包壹级及建筑施工、市政公用施工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贰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级资质、工程测绘乙级资质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；权属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子公司拥有水利工程设计乙级资质、工程勘察乙级资质、水利工程咨询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甲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级资质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水利水电工程施工总承包贰级资质、地基基础工程专业承包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贰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级、河湖整治工程专业承包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贰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级资质，水利工程施工监理甲级、房屋建筑工程乙级资质、市政公用工程监理乙级资质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工程质量检测甲级资质。现已发展成以设计为龙头，以施工为主体，多元化经营的国有综合性企业，建立了严格的质量、环境、职业健康安全管理体系，科学的现代化企业管理方略。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水发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集团先后承建了多项省内外水利重点工程，国内市场遍及山东、江苏、安徽、新疆、河南、云南、黑龙江、江西、湖北等20余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个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省、自治区，所承担完成的项目荣获山东省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泰山杯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鲁水杯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优质工程奖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治淮文明工地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全国水利优秀质量管理小组成果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QC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奖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0余奖项。集团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先后被授予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全国水利建设市场主体AAA级信用企业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全国水利安全生产标准化一级单位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全国优秀水利企业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全省水利工作先进集体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”“山东省水利系统文明单位”“济宁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防汛抗旱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工作先进集体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等荣誉称号。</w:t>
      </w:r>
    </w:p>
    <w:p w14:paraId="57F16EB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kern w:val="2"/>
          <w:sz w:val="28"/>
          <w:szCs w:val="28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kern w:val="2"/>
          <w:sz w:val="28"/>
          <w:szCs w:val="28"/>
          <w:u w:val="none"/>
          <w:shd w:val="clear"/>
          <w:lang w:val="en-US" w:eastAsia="zh-CN" w:bidi="ar-SA"/>
        </w:rPr>
        <w:t>（截至到2026年6月30日）</w:t>
      </w:r>
    </w:p>
    <w:p w14:paraId="05A2473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right="0" w:rightChars="0"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kern w:val="2"/>
          <w:sz w:val="32"/>
          <w:szCs w:val="32"/>
          <w:u w:val="none"/>
          <w:shd w:val="clear"/>
          <w:lang w:val="en-US" w:eastAsia="zh-CN" w:bidi="ar-SA"/>
        </w:rPr>
        <w:t>2026年中期主要财务数据</w:t>
      </w:r>
    </w:p>
    <w:p w14:paraId="6E828C0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 w:firstLine="643" w:firstLineChars="200"/>
        <w:jc w:val="center"/>
        <w:textAlignment w:val="auto"/>
        <w:rPr>
          <w:rFonts w:hint="default" w:ascii="Times New Roman" w:hAnsi="Times New Roman" w:eastAsia="方正黑体简体" w:cs="Times New Roman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eastAsia="方正黑体简体" w:cs="Times New Roman"/>
          <w:kern w:val="2"/>
          <w:sz w:val="32"/>
          <w:szCs w:val="32"/>
          <w:u w:val="none"/>
          <w:shd w:val="clear"/>
          <w:lang w:val="en-US" w:eastAsia="zh-CN" w:bidi="ar-SA"/>
        </w:rPr>
        <w:t>单位：万元</w:t>
      </w:r>
    </w:p>
    <w:tbl>
      <w:tblPr>
        <w:tblStyle w:val="4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1319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  <w:shd w:val="clear" w:color="auto" w:fill="auto"/>
            <w:vAlign w:val="top"/>
          </w:tcPr>
          <w:p w14:paraId="66191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C1EB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13586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11186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2400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2102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110647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71419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39228</w:t>
            </w:r>
          </w:p>
        </w:tc>
      </w:tr>
    </w:tbl>
    <w:p w14:paraId="2C65060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5CE9CFDD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，水发集团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实现营业总收入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13586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万元，完成年度预算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24.26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%；实现利润总额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2400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51.23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%；实现净利润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2102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53.68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%。</w:t>
      </w:r>
    </w:p>
    <w:p w14:paraId="505E011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内重大事项及对企业的影响</w:t>
      </w:r>
    </w:p>
    <w:p w14:paraId="29E7D039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。</w:t>
      </w:r>
    </w:p>
    <w:p w14:paraId="36B228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NTlkMmJlMmUxZDUwYzA1MDA0NzA2NGFhN2RiMWUifQ=="/>
  </w:docVars>
  <w:rsids>
    <w:rsidRoot w:val="00000000"/>
    <w:rsid w:val="01117F0B"/>
    <w:rsid w:val="02C81A82"/>
    <w:rsid w:val="04A844E4"/>
    <w:rsid w:val="093D2630"/>
    <w:rsid w:val="09715C06"/>
    <w:rsid w:val="10331024"/>
    <w:rsid w:val="130B7C6D"/>
    <w:rsid w:val="14890660"/>
    <w:rsid w:val="1C41040D"/>
    <w:rsid w:val="1C437FF5"/>
    <w:rsid w:val="1D902A9F"/>
    <w:rsid w:val="1F972396"/>
    <w:rsid w:val="232C45A4"/>
    <w:rsid w:val="23C7544D"/>
    <w:rsid w:val="23FB6F81"/>
    <w:rsid w:val="25587FAA"/>
    <w:rsid w:val="25EF5A15"/>
    <w:rsid w:val="26BA732E"/>
    <w:rsid w:val="288064E8"/>
    <w:rsid w:val="28AA222B"/>
    <w:rsid w:val="28BC535A"/>
    <w:rsid w:val="2A234BC3"/>
    <w:rsid w:val="2AF92FF6"/>
    <w:rsid w:val="2B4F54D4"/>
    <w:rsid w:val="2B8620D9"/>
    <w:rsid w:val="2DB70B5A"/>
    <w:rsid w:val="306868BC"/>
    <w:rsid w:val="34A923ED"/>
    <w:rsid w:val="34AC6827"/>
    <w:rsid w:val="34D861A6"/>
    <w:rsid w:val="35335357"/>
    <w:rsid w:val="3BF74B03"/>
    <w:rsid w:val="3C48087D"/>
    <w:rsid w:val="43B17BF4"/>
    <w:rsid w:val="48997C87"/>
    <w:rsid w:val="4F3B2CD9"/>
    <w:rsid w:val="4FBE2052"/>
    <w:rsid w:val="4FEC267D"/>
    <w:rsid w:val="4FFF7839"/>
    <w:rsid w:val="50535B0F"/>
    <w:rsid w:val="54CC5B55"/>
    <w:rsid w:val="577A1004"/>
    <w:rsid w:val="578816B4"/>
    <w:rsid w:val="58FF3F63"/>
    <w:rsid w:val="5A7F1C76"/>
    <w:rsid w:val="5AC92B0A"/>
    <w:rsid w:val="5F5B307A"/>
    <w:rsid w:val="63387E58"/>
    <w:rsid w:val="64147345"/>
    <w:rsid w:val="646232A1"/>
    <w:rsid w:val="648F53BB"/>
    <w:rsid w:val="66426D75"/>
    <w:rsid w:val="669E10BD"/>
    <w:rsid w:val="68663237"/>
    <w:rsid w:val="68AD4DE1"/>
    <w:rsid w:val="697418A4"/>
    <w:rsid w:val="6B482CC7"/>
    <w:rsid w:val="6B756129"/>
    <w:rsid w:val="6C3147F1"/>
    <w:rsid w:val="71516032"/>
    <w:rsid w:val="761A318D"/>
    <w:rsid w:val="766F2BE0"/>
    <w:rsid w:val="774529F6"/>
    <w:rsid w:val="77FA47E4"/>
    <w:rsid w:val="7A675E3B"/>
    <w:rsid w:val="7C864302"/>
    <w:rsid w:val="7CC6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basedOn w:val="1"/>
    <w:autoRedefine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1050</Characters>
  <Lines>0</Lines>
  <Paragraphs>0</Paragraphs>
  <TotalTime>0</TotalTime>
  <ScaleCrop>false</ScaleCrop>
  <LinksUpToDate>false</LinksUpToDate>
  <CharactersWithSpaces>1090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2023-08-24T04:08:00Z</dcterms:created>
  <dc:creator>联想电脑</dc:creator>
  <cp:lastModifiedBy>王海鹏</cp:lastModifiedBy>
  <cp:lastPrinted>2026-06-25T00:42:00Z</cp:lastPrinted>
  <dcterms:modified xsi:type="dcterms:W3CDTF">2026-08-28T00:49:02Z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86550F2DB609495782B27460FCB911FD_13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