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F41B9B">
      <w:pPr>
        <w:keepNext w:val="0"/>
        <w:keepLines w:val="0"/>
        <w:pageBreakBefore w:val="0"/>
        <w:widowControl w:val="0"/>
        <w:kinsoku/>
        <w:wordWrap/>
        <w:overflowPunct/>
        <w:topLinePunct w:val="0"/>
        <w:autoSpaceDE/>
        <w:autoSpaceDN/>
        <w:bidi w:val="0"/>
        <w:adjustRightInd/>
        <w:snapToGrid w:val="0"/>
        <w:spacing w:line="600" w:lineRule="exact"/>
        <w:jc w:val="center"/>
        <w:textAlignment w:val="auto"/>
        <w:rPr>
          <w:rFonts w:hint="default" w:ascii="Times New Roman" w:hAnsi="Times New Roman" w:eastAsia="方正小标宋简体" w:cs="Times New Roman"/>
          <w:b/>
          <w:bCs/>
          <w:sz w:val="44"/>
          <w:szCs w:val="44"/>
        </w:rPr>
      </w:pPr>
      <w:r>
        <w:rPr>
          <w:rFonts w:hint="eastAsia" w:ascii="Times New Roman" w:hAnsi="Times New Roman" w:eastAsia="方正小标宋简体" w:cs="Times New Roman"/>
          <w:b/>
          <w:bCs/>
          <w:sz w:val="44"/>
          <w:szCs w:val="44"/>
        </w:rPr>
        <w:t xml:space="preserve">山东公用置业集团有限公司 </w:t>
      </w:r>
    </w:p>
    <w:p w14:paraId="4437C0C2">
      <w:pPr>
        <w:keepNext w:val="0"/>
        <w:keepLines w:val="0"/>
        <w:pageBreakBefore w:val="0"/>
        <w:widowControl w:val="0"/>
        <w:kinsoku/>
        <w:wordWrap/>
        <w:overflowPunct/>
        <w:topLinePunct w:val="0"/>
        <w:autoSpaceDE/>
        <w:autoSpaceDN/>
        <w:bidi w:val="0"/>
        <w:adjustRightInd/>
        <w:snapToGrid w:val="0"/>
        <w:spacing w:line="600" w:lineRule="exact"/>
        <w:jc w:val="center"/>
        <w:textAlignment w:val="auto"/>
        <w:rPr>
          <w:rFonts w:hint="default" w:ascii="Times New Roman" w:hAnsi="Times New Roman" w:eastAsia="方正小标宋简体" w:cs="Times New Roman"/>
          <w:b/>
          <w:bCs/>
          <w:sz w:val="44"/>
          <w:szCs w:val="44"/>
        </w:rPr>
      </w:pPr>
      <w:r>
        <w:rPr>
          <w:rFonts w:hint="default" w:ascii="Times New Roman" w:hAnsi="Times New Roman" w:eastAsia="方正小标宋简体" w:cs="Times New Roman"/>
          <w:b/>
          <w:bCs/>
          <w:sz w:val="44"/>
          <w:szCs w:val="44"/>
        </w:rPr>
        <w:t>202</w:t>
      </w:r>
      <w:r>
        <w:rPr>
          <w:rFonts w:hint="eastAsia" w:ascii="Times New Roman" w:hAnsi="Times New Roman" w:eastAsia="方正小标宋简体" w:cs="Times New Roman"/>
          <w:b/>
          <w:bCs/>
          <w:sz w:val="44"/>
          <w:szCs w:val="44"/>
          <w:lang w:val="en-US" w:eastAsia="zh-CN"/>
        </w:rPr>
        <w:t>6</w:t>
      </w:r>
      <w:r>
        <w:rPr>
          <w:rFonts w:hint="default" w:ascii="Times New Roman" w:hAnsi="Times New Roman" w:eastAsia="方正小标宋简体" w:cs="Times New Roman"/>
          <w:b/>
          <w:bCs/>
          <w:sz w:val="44"/>
          <w:szCs w:val="44"/>
        </w:rPr>
        <w:t>年</w:t>
      </w:r>
      <w:r>
        <w:rPr>
          <w:rFonts w:hint="eastAsia" w:ascii="Times New Roman" w:hAnsi="Times New Roman" w:eastAsia="方正小标宋简体" w:cs="Times New Roman"/>
          <w:b/>
          <w:bCs/>
          <w:sz w:val="44"/>
          <w:szCs w:val="44"/>
          <w:lang w:val="en-US" w:eastAsia="zh-CN"/>
        </w:rPr>
        <w:t>三季度</w:t>
      </w:r>
      <w:r>
        <w:rPr>
          <w:rFonts w:hint="default" w:ascii="Times New Roman" w:hAnsi="Times New Roman" w:eastAsia="方正小标宋简体" w:cs="Times New Roman"/>
          <w:b/>
          <w:bCs/>
          <w:sz w:val="44"/>
          <w:szCs w:val="44"/>
        </w:rPr>
        <w:t>财务</w:t>
      </w:r>
      <w:r>
        <w:rPr>
          <w:rFonts w:hint="eastAsia" w:ascii="Times New Roman" w:hAnsi="Times New Roman" w:eastAsia="方正小标宋简体" w:cs="Times New Roman"/>
          <w:b/>
          <w:bCs/>
          <w:sz w:val="44"/>
          <w:szCs w:val="44"/>
          <w:lang w:val="en-US" w:eastAsia="zh-CN"/>
        </w:rPr>
        <w:t>等</w:t>
      </w:r>
      <w:r>
        <w:rPr>
          <w:rFonts w:hint="default" w:ascii="Times New Roman" w:hAnsi="Times New Roman" w:eastAsia="方正小标宋简体" w:cs="Times New Roman"/>
          <w:b/>
          <w:bCs/>
          <w:sz w:val="44"/>
          <w:szCs w:val="44"/>
        </w:rPr>
        <w:t>重大信息公开</w:t>
      </w:r>
    </w:p>
    <w:p w14:paraId="604CC739">
      <w:pPr>
        <w:keepNext w:val="0"/>
        <w:keepLines w:val="0"/>
        <w:pageBreakBefore w:val="0"/>
        <w:widowControl w:val="0"/>
        <w:kinsoku/>
        <w:wordWrap/>
        <w:overflowPunct/>
        <w:topLinePunct w:val="0"/>
        <w:autoSpaceDE/>
        <w:autoSpaceDN/>
        <w:bidi w:val="0"/>
        <w:adjustRightInd/>
        <w:snapToGrid w:val="0"/>
        <w:spacing w:line="600" w:lineRule="exact"/>
        <w:jc w:val="center"/>
        <w:textAlignment w:val="auto"/>
        <w:rPr>
          <w:rFonts w:hint="default" w:ascii="Times New Roman" w:hAnsi="Times New Roman" w:eastAsia="方正小标宋简体" w:cs="Times New Roman"/>
          <w:b/>
          <w:bCs/>
          <w:sz w:val="44"/>
          <w:szCs w:val="44"/>
        </w:rPr>
      </w:pPr>
    </w:p>
    <w:p w14:paraId="0B464303">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default" w:ascii="Times New Roman" w:hAnsi="Times New Roman" w:eastAsia="方正黑体简体" w:cs="Times New Roman"/>
          <w:b/>
          <w:bCs/>
          <w:sz w:val="32"/>
          <w:szCs w:val="32"/>
        </w:rPr>
      </w:pPr>
      <w:r>
        <w:rPr>
          <w:rFonts w:hint="default" w:ascii="Times New Roman" w:hAnsi="Times New Roman" w:eastAsia="方正黑体简体" w:cs="Times New Roman"/>
          <w:b/>
          <w:bCs/>
          <w:sz w:val="32"/>
          <w:szCs w:val="32"/>
        </w:rPr>
        <w:t xml:space="preserve">一、公司基本情况 </w:t>
      </w:r>
    </w:p>
    <w:p w14:paraId="1FC3704B">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1.公司名称：</w:t>
      </w:r>
      <w:r>
        <w:rPr>
          <w:rFonts w:hint="eastAsia" w:ascii="Times New Roman" w:hAnsi="Times New Roman" w:eastAsia="方正仿宋简体" w:cs="Times New Roman"/>
          <w:b/>
          <w:bCs/>
          <w:sz w:val="32"/>
          <w:szCs w:val="32"/>
        </w:rPr>
        <w:t xml:space="preserve">山东公用置业集团有限公司 </w:t>
      </w:r>
    </w:p>
    <w:p w14:paraId="184F110D">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default" w:ascii="Times New Roman" w:hAnsi="Times New Roman" w:eastAsia="方正仿宋简体" w:cs="Times New Roman"/>
          <w:b/>
          <w:bCs/>
          <w:sz w:val="32"/>
          <w:szCs w:val="32"/>
          <w:lang w:val="en-US" w:eastAsia="zh-CN"/>
        </w:rPr>
      </w:pPr>
      <w:r>
        <w:rPr>
          <w:rFonts w:hint="default" w:ascii="Times New Roman" w:hAnsi="Times New Roman" w:eastAsia="方正仿宋简体" w:cs="Times New Roman"/>
          <w:b/>
          <w:bCs/>
          <w:sz w:val="32"/>
          <w:szCs w:val="32"/>
        </w:rPr>
        <w:t>2.法定代表人：</w:t>
      </w:r>
      <w:r>
        <w:rPr>
          <w:rFonts w:hint="eastAsia" w:ascii="Times New Roman" w:hAnsi="Times New Roman" w:eastAsia="方正仿宋简体" w:cs="Times New Roman"/>
          <w:b/>
          <w:bCs/>
          <w:sz w:val="32"/>
          <w:szCs w:val="32"/>
          <w:lang w:val="en-US" w:eastAsia="zh-CN"/>
        </w:rPr>
        <w:t>邵东军</w:t>
      </w:r>
    </w:p>
    <w:p w14:paraId="6B3D8A38">
      <w:pPr>
        <w:keepNext w:val="0"/>
        <w:keepLines w:val="0"/>
        <w:pageBreakBefore w:val="0"/>
        <w:widowControl w:val="0"/>
        <w:kinsoku/>
        <w:wordWrap/>
        <w:overflowPunct/>
        <w:topLinePunct w:val="0"/>
        <w:bidi w:val="0"/>
        <w:spacing w:line="600" w:lineRule="exact"/>
        <w:ind w:firstLine="643" w:firstLineChars="200"/>
        <w:textAlignment w:val="auto"/>
        <w:rPr>
          <w:rFonts w:ascii="Times New Roman" w:hAnsi="Times New Roman" w:eastAsia="方正仿宋简体" w:cs="方正仿宋简体"/>
          <w:b/>
          <w:bCs/>
          <w:sz w:val="32"/>
          <w:szCs w:val="32"/>
        </w:rPr>
      </w:pPr>
      <w:r>
        <w:rPr>
          <w:rFonts w:hint="default" w:ascii="Times New Roman" w:hAnsi="Times New Roman" w:eastAsia="方正仿宋简体" w:cs="Times New Roman"/>
          <w:b/>
          <w:bCs/>
          <w:sz w:val="32"/>
          <w:szCs w:val="32"/>
        </w:rPr>
        <w:t>3.注册地址：</w:t>
      </w:r>
      <w:r>
        <w:rPr>
          <w:rFonts w:hint="eastAsia" w:ascii="Times New Roman" w:hAnsi="Times New Roman" w:eastAsia="方正仿宋简体" w:cs="方正仿宋简体"/>
          <w:b/>
          <w:bCs/>
          <w:sz w:val="32"/>
          <w:szCs w:val="32"/>
        </w:rPr>
        <w:t>山东省济宁市任城区红星中路23号</w:t>
      </w:r>
    </w:p>
    <w:p w14:paraId="645DC4D3">
      <w:pPr>
        <w:keepNext w:val="0"/>
        <w:keepLines w:val="0"/>
        <w:pageBreakBefore w:val="0"/>
        <w:widowControl w:val="0"/>
        <w:kinsoku/>
        <w:wordWrap/>
        <w:overflowPunct/>
        <w:topLinePunct w:val="0"/>
        <w:autoSpaceDE/>
        <w:autoSpaceDN/>
        <w:bidi w:val="0"/>
        <w:adjustRightInd/>
        <w:snapToGrid/>
        <w:spacing w:line="600" w:lineRule="exact"/>
        <w:ind w:left="0" w:leftChars="0" w:firstLine="643" w:firstLineChars="200"/>
        <w:textAlignment w:val="auto"/>
        <w:rPr>
          <w:rFonts w:hint="default" w:ascii="Times New Roman" w:hAnsi="Times New Roman" w:eastAsia="方正仿宋简体" w:cs="Times New Roman"/>
          <w:b/>
          <w:bCs/>
          <w:sz w:val="32"/>
          <w:szCs w:val="32"/>
          <w:lang w:val="en-US" w:eastAsia="zh-CN"/>
        </w:rPr>
      </w:pPr>
      <w:r>
        <w:rPr>
          <w:rFonts w:hint="default" w:ascii="Times New Roman" w:hAnsi="Times New Roman" w:eastAsia="方正仿宋简体" w:cs="Times New Roman"/>
          <w:b/>
          <w:bCs/>
          <w:sz w:val="32"/>
          <w:szCs w:val="32"/>
        </w:rPr>
        <w:t>4.经营范围：</w:t>
      </w:r>
      <w:r>
        <w:rPr>
          <w:rFonts w:hint="eastAsia" w:ascii="Times New Roman" w:hAnsi="Times New Roman" w:eastAsia="方正仿宋简体" w:cs="方正仿宋简体"/>
          <w:b/>
          <w:bCs/>
          <w:sz w:val="32"/>
          <w:szCs w:val="32"/>
        </w:rPr>
        <w:t>房地产开发经营；物业管理；自有房地产经营活动；商品房销售；房地产投资；建筑工程施工；装饰装修；建筑材料销售；房地产信息查询；房屋出租。（依法须经批准的项目，经相关部门批准后开展经营活动）</w:t>
      </w:r>
    </w:p>
    <w:p w14:paraId="702C25FE">
      <w:pPr>
        <w:keepNext w:val="0"/>
        <w:keepLines w:val="0"/>
        <w:pageBreakBefore w:val="0"/>
        <w:widowControl w:val="0"/>
        <w:kinsoku/>
        <w:wordWrap/>
        <w:overflowPunct/>
        <w:topLinePunct w:val="0"/>
        <w:bidi w:val="0"/>
        <w:spacing w:line="600" w:lineRule="exact"/>
        <w:ind w:firstLine="643" w:firstLineChars="200"/>
        <w:textAlignment w:val="auto"/>
        <w:rPr>
          <w:rFonts w:ascii="Times New Roman" w:hAnsi="Times New Roman" w:eastAsia="方正仿宋简体" w:cs="方正仿宋简体"/>
          <w:b/>
          <w:bCs/>
          <w:sz w:val="32"/>
          <w:szCs w:val="32"/>
        </w:rPr>
      </w:pPr>
      <w:r>
        <w:rPr>
          <w:rFonts w:hint="default" w:ascii="Times New Roman" w:hAnsi="Times New Roman" w:eastAsia="方正仿宋简体" w:cs="Times New Roman"/>
          <w:b/>
          <w:bCs/>
          <w:sz w:val="32"/>
          <w:szCs w:val="32"/>
        </w:rPr>
        <w:t xml:space="preserve">5.公司简介: </w:t>
      </w:r>
      <w:r>
        <w:rPr>
          <w:rFonts w:hint="eastAsia" w:ascii="Times New Roman" w:hAnsi="Times New Roman" w:eastAsia="方正仿宋简体" w:cs="方正仿宋简体"/>
          <w:b/>
          <w:bCs/>
          <w:sz w:val="32"/>
          <w:szCs w:val="32"/>
        </w:rPr>
        <w:t>山东公用置业集团有限公司是山东公用控股有限公司出资设立的国有独资企业。公司以“树立品牌形象，建设优质工程，打造诚信企业”为宗旨，一贯坚持以“市场为导向、开发为重点、经营为龙头、质量为根本”的开发理念和经营方针，积极打造优质环保工程，走品牌化道路。</w:t>
      </w:r>
    </w:p>
    <w:p w14:paraId="15F1B59F">
      <w:pPr>
        <w:keepNext w:val="0"/>
        <w:keepLines w:val="0"/>
        <w:pageBreakBefore w:val="0"/>
        <w:widowControl w:val="0"/>
        <w:kinsoku/>
        <w:wordWrap/>
        <w:overflowPunct/>
        <w:topLinePunct w:val="0"/>
        <w:bidi w:val="0"/>
        <w:spacing w:line="600" w:lineRule="exact"/>
        <w:ind w:firstLine="643" w:firstLineChars="200"/>
        <w:textAlignment w:val="auto"/>
        <w:rPr>
          <w:rFonts w:ascii="Times New Roman" w:hAnsi="Times New Roman" w:eastAsia="方正仿宋简体" w:cs="方正仿宋简体"/>
          <w:b/>
          <w:bCs/>
          <w:sz w:val="32"/>
          <w:szCs w:val="32"/>
        </w:rPr>
      </w:pPr>
      <w:r>
        <w:rPr>
          <w:rFonts w:hint="eastAsia" w:ascii="Times New Roman" w:hAnsi="Times New Roman" w:eastAsia="方正仿宋简体" w:cs="方正仿宋简体"/>
          <w:b/>
          <w:bCs/>
          <w:sz w:val="32"/>
          <w:szCs w:val="32"/>
        </w:rPr>
        <w:t>近年来，山东公用置业集团成功开发了太白湖新区“清泉美景”住宅、商务片区；兖州“公用瑞马名门”、“公用瑞马悦府”、“公用瑞马世家”、济宁高新区“公用瑞马新天地”、“公用·九巨龙理想城”；济宁任城区“禧悦”、嘉祥公用·九巨龙“山水龙城”；梁山“龙城公馆”等房地产项目。建设工程曾荣获“山东省建筑业新技术应用示范工程”、“山东省建筑施工安全文明小区”、“山东省节水型小区”、“山东省、济宁市优质结构”、“运河杯”、“沂蒙杯”等荣誉称号。</w:t>
      </w:r>
    </w:p>
    <w:p w14:paraId="6BF75BA3">
      <w:pPr>
        <w:keepNext w:val="0"/>
        <w:keepLines w:val="0"/>
        <w:pageBreakBefore w:val="0"/>
        <w:widowControl w:val="0"/>
        <w:kinsoku/>
        <w:wordWrap/>
        <w:overflowPunct/>
        <w:topLinePunct w:val="0"/>
        <w:bidi w:val="0"/>
        <w:spacing w:line="600" w:lineRule="exact"/>
        <w:ind w:firstLine="643" w:firstLineChars="200"/>
        <w:textAlignment w:val="auto"/>
        <w:rPr>
          <w:rFonts w:ascii="Times New Roman" w:hAnsi="Times New Roman" w:eastAsia="方正仿宋简体" w:cs="方正仿宋简体"/>
          <w:b/>
          <w:bCs/>
          <w:sz w:val="32"/>
          <w:szCs w:val="32"/>
        </w:rPr>
      </w:pPr>
      <w:r>
        <w:rPr>
          <w:rFonts w:hint="eastAsia" w:ascii="Times New Roman" w:hAnsi="Times New Roman" w:eastAsia="方正仿宋简体" w:cs="方正仿宋简体"/>
          <w:b/>
          <w:bCs/>
          <w:sz w:val="32"/>
          <w:szCs w:val="32"/>
        </w:rPr>
        <w:t>公司致力于开发精品楼盘，优化济宁人居环境，精心为客户提供全方位、高品质的良好服务。开发项目典雅恢弘的建筑、匠心独运的设计，国际化标准物业管理服务使企业在济宁地产行业迅速成为一颗璀璨的明珠。</w:t>
      </w:r>
    </w:p>
    <w:p w14:paraId="5E78FBEF">
      <w:pPr>
        <w:keepNext w:val="0"/>
        <w:keepLines w:val="0"/>
        <w:pageBreakBefore w:val="0"/>
        <w:widowControl w:val="0"/>
        <w:kinsoku/>
        <w:wordWrap/>
        <w:overflowPunct/>
        <w:topLinePunct w:val="0"/>
        <w:bidi w:val="0"/>
        <w:spacing w:line="600" w:lineRule="exact"/>
        <w:ind w:firstLine="643" w:firstLineChars="200"/>
        <w:textAlignment w:val="auto"/>
        <w:rPr>
          <w:rFonts w:hint="default" w:ascii="Times New Roman" w:hAnsi="Times New Roman" w:eastAsia="方正仿宋简体" w:cs="Times New Roman"/>
          <w:b/>
          <w:bCs/>
          <w:sz w:val="32"/>
          <w:szCs w:val="32"/>
          <w:lang w:val="en-US" w:eastAsia="zh-CN"/>
        </w:rPr>
      </w:pPr>
      <w:r>
        <w:rPr>
          <w:rFonts w:hint="eastAsia" w:ascii="Times New Roman" w:hAnsi="Times New Roman" w:eastAsia="方正仿宋简体" w:cs="方正仿宋简体"/>
          <w:b/>
          <w:bCs/>
          <w:sz w:val="32"/>
          <w:szCs w:val="32"/>
        </w:rPr>
        <w:t>公司在经营管理中积极探索与市场机制相适应的经营策略，以国家政策为指导，充分发挥国有企业资源优势。坚持创新发展，以市场为主导，以客户需求为目标，以质量占领市场，以服务赢得人心的经营理念，努力为济宁人民提供温馨优雅的宜居家园。</w:t>
      </w:r>
    </w:p>
    <w:p w14:paraId="54629271">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eastAsia" w:ascii="Times New Roman" w:hAnsi="Times New Roman" w:eastAsia="方正黑体简体" w:cs="Times New Roman"/>
          <w:b w:val="0"/>
          <w:bCs w:val="0"/>
          <w:sz w:val="28"/>
          <w:szCs w:val="28"/>
          <w:lang w:val="en-US" w:eastAsia="zh-CN"/>
        </w:rPr>
      </w:pPr>
      <w:r>
        <w:rPr>
          <w:rFonts w:hint="eastAsia" w:ascii="Times New Roman" w:hAnsi="Times New Roman" w:eastAsia="方正黑体简体" w:cs="Times New Roman"/>
          <w:b/>
          <w:bCs/>
          <w:sz w:val="32"/>
          <w:szCs w:val="32"/>
        </w:rPr>
        <w:t>二、主要会计数据和财务指标</w:t>
      </w:r>
      <w:r>
        <w:rPr>
          <w:rFonts w:hint="eastAsia" w:ascii="Times New Roman" w:hAnsi="Times New Roman" w:eastAsia="方正黑体简体" w:cs="Times New Roman"/>
          <w:b w:val="0"/>
          <w:bCs w:val="0"/>
          <w:sz w:val="28"/>
          <w:szCs w:val="28"/>
          <w:lang w:val="en-US" w:eastAsia="zh-CN"/>
        </w:rPr>
        <w:t>（截止到2026年9月30日）</w:t>
      </w:r>
    </w:p>
    <w:p w14:paraId="08F894C3">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jc w:val="center"/>
        <w:textAlignment w:val="auto"/>
        <w:rPr>
          <w:rFonts w:hint="eastAsia" w:ascii="Times New Roman" w:hAnsi="Times New Roman" w:eastAsia="方正黑体简体" w:cs="Times New Roman"/>
          <w:b w:val="0"/>
          <w:bCs w:val="0"/>
          <w:sz w:val="32"/>
          <w:szCs w:val="32"/>
          <w:lang w:val="en-US" w:eastAsia="zh-CN"/>
        </w:rPr>
      </w:pPr>
      <w:r>
        <w:rPr>
          <w:rFonts w:hint="eastAsia" w:ascii="Times New Roman" w:hAnsi="Times New Roman" w:eastAsia="方正黑体简体" w:cs="Times New Roman"/>
          <w:b w:val="0"/>
          <w:bCs w:val="0"/>
          <w:sz w:val="32"/>
          <w:szCs w:val="32"/>
          <w:lang w:val="en-US" w:eastAsia="zh-CN"/>
        </w:rPr>
        <w:t>2026年三季度主要财务数据</w:t>
      </w:r>
    </w:p>
    <w:p w14:paraId="3ACE5E35">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方正黑体简体" w:hAnsi="方正黑体简体" w:eastAsia="方正黑体简体" w:cs="方正黑体简体"/>
          <w:b w:val="0"/>
          <w:bCs w:val="0"/>
          <w:sz w:val="32"/>
          <w:szCs w:val="32"/>
          <w:lang w:val="en-US" w:eastAsia="zh-CN"/>
        </w:rPr>
      </w:pPr>
      <w:r>
        <w:rPr>
          <w:rFonts w:hint="eastAsia" w:ascii="方正黑体简体" w:hAnsi="方正黑体简体" w:eastAsia="方正黑体简体" w:cs="方正黑体简体"/>
          <w:b w:val="0"/>
          <w:bCs w:val="0"/>
          <w:sz w:val="32"/>
          <w:szCs w:val="32"/>
          <w:lang w:val="en-US" w:eastAsia="zh-CN"/>
        </w:rPr>
        <w:t xml:space="preserve">                                           </w:t>
      </w:r>
      <w:r>
        <w:rPr>
          <w:rFonts w:hint="default" w:ascii="方正黑体简体" w:hAnsi="方正黑体简体" w:eastAsia="方正黑体简体" w:cs="方正黑体简体"/>
          <w:b w:val="0"/>
          <w:bCs w:val="0"/>
          <w:sz w:val="32"/>
          <w:szCs w:val="32"/>
          <w:lang w:val="en-US" w:eastAsia="zh-CN"/>
        </w:rPr>
        <w:t>单位：万元</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54"/>
        <w:gridCol w:w="4819"/>
      </w:tblGrid>
      <w:tr w14:paraId="386A8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vAlign w:val="top"/>
          </w:tcPr>
          <w:p w14:paraId="50BBCA06">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eastAsia" w:ascii="方正黑体简体" w:hAnsi="方正黑体简体" w:eastAsia="方正黑体简体" w:cs="方正黑体简体"/>
                <w:b/>
                <w:bCs/>
                <w:sz w:val="32"/>
                <w:szCs w:val="32"/>
                <w:lang w:val="en-US" w:eastAsia="zh-CN"/>
              </w:rPr>
              <w:t>项  目</w:t>
            </w:r>
          </w:p>
        </w:tc>
        <w:tc>
          <w:tcPr>
            <w:tcW w:w="4819" w:type="dxa"/>
            <w:vAlign w:val="center"/>
          </w:tcPr>
          <w:p w14:paraId="62B608FD">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eastAsia" w:ascii="方正黑体简体" w:hAnsi="方正黑体简体" w:eastAsia="方正黑体简体" w:cs="方正黑体简体"/>
                <w:b/>
                <w:bCs/>
                <w:sz w:val="32"/>
                <w:szCs w:val="32"/>
                <w:lang w:val="en-US" w:eastAsia="zh-CN"/>
              </w:rPr>
              <w:t>金  额</w:t>
            </w:r>
          </w:p>
        </w:tc>
      </w:tr>
      <w:tr w14:paraId="6EF30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14:paraId="08CDA57F">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营业总收入</w:t>
            </w:r>
          </w:p>
        </w:tc>
        <w:tc>
          <w:tcPr>
            <w:tcW w:w="4819" w:type="dxa"/>
            <w:vAlign w:val="center"/>
          </w:tcPr>
          <w:p w14:paraId="5E2649AE">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106,986</w:t>
            </w:r>
          </w:p>
        </w:tc>
      </w:tr>
      <w:tr w14:paraId="3687F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14:paraId="67E9107F">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营业总成本</w:t>
            </w:r>
          </w:p>
        </w:tc>
        <w:tc>
          <w:tcPr>
            <w:tcW w:w="4819" w:type="dxa"/>
            <w:vAlign w:val="center"/>
          </w:tcPr>
          <w:p w14:paraId="60A4327B">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lang w:val="en-US" w:eastAsia="zh-CN"/>
              </w:rPr>
            </w:pPr>
            <w:r>
              <w:rPr>
                <w:rFonts w:hint="eastAsia" w:ascii="Times New Roman" w:hAnsi="Times New Roman" w:eastAsia="方正仿宋简体" w:cs="Times New Roman"/>
                <w:b/>
                <w:bCs/>
                <w:sz w:val="32"/>
                <w:szCs w:val="32"/>
                <w:lang w:val="en-US" w:eastAsia="zh-CN"/>
              </w:rPr>
              <w:t>98697</w:t>
            </w:r>
          </w:p>
        </w:tc>
      </w:tr>
      <w:tr w14:paraId="16EEC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14:paraId="734EFB74">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利润总额</w:t>
            </w:r>
          </w:p>
        </w:tc>
        <w:tc>
          <w:tcPr>
            <w:tcW w:w="4819" w:type="dxa"/>
            <w:vAlign w:val="center"/>
          </w:tcPr>
          <w:p w14:paraId="2D612CEE">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8,391</w:t>
            </w:r>
          </w:p>
        </w:tc>
      </w:tr>
      <w:tr w14:paraId="5184F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14:paraId="221D3B1B">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净利润</w:t>
            </w:r>
          </w:p>
        </w:tc>
        <w:tc>
          <w:tcPr>
            <w:tcW w:w="4819" w:type="dxa"/>
            <w:vAlign w:val="center"/>
          </w:tcPr>
          <w:p w14:paraId="12DFC477">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5,873</w:t>
            </w:r>
          </w:p>
        </w:tc>
      </w:tr>
      <w:tr w14:paraId="4E2C9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14:paraId="03A47F7E">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资产总额</w:t>
            </w:r>
          </w:p>
        </w:tc>
        <w:tc>
          <w:tcPr>
            <w:tcW w:w="4819" w:type="dxa"/>
            <w:vAlign w:val="center"/>
          </w:tcPr>
          <w:p w14:paraId="62D98D0B">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935,854</w:t>
            </w:r>
          </w:p>
        </w:tc>
      </w:tr>
      <w:tr w14:paraId="27C21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14:paraId="0AC74172">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负债总额</w:t>
            </w:r>
          </w:p>
        </w:tc>
        <w:tc>
          <w:tcPr>
            <w:tcW w:w="4819" w:type="dxa"/>
            <w:vAlign w:val="center"/>
          </w:tcPr>
          <w:p w14:paraId="0A854D52">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730,449</w:t>
            </w:r>
          </w:p>
        </w:tc>
      </w:tr>
      <w:tr w14:paraId="2DD7D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14:paraId="34773FD6">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所有者权益</w:t>
            </w:r>
          </w:p>
        </w:tc>
        <w:tc>
          <w:tcPr>
            <w:tcW w:w="4819" w:type="dxa"/>
            <w:vAlign w:val="center"/>
          </w:tcPr>
          <w:p w14:paraId="48BD7381">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205,405</w:t>
            </w:r>
          </w:p>
        </w:tc>
      </w:tr>
    </w:tbl>
    <w:p w14:paraId="084F9192">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方正黑体简体" w:cs="Times New Roman"/>
          <w:b/>
          <w:bCs/>
          <w:sz w:val="32"/>
          <w:szCs w:val="32"/>
          <w:lang w:val="en-US" w:eastAsia="zh-CN"/>
        </w:rPr>
      </w:pPr>
      <w:r>
        <w:rPr>
          <w:rFonts w:hint="default" w:ascii="Times New Roman" w:hAnsi="Times New Roman" w:eastAsia="方正黑体简体" w:cs="Times New Roman"/>
          <w:b/>
          <w:bCs/>
          <w:sz w:val="32"/>
          <w:szCs w:val="32"/>
        </w:rPr>
        <w:t>三、</w:t>
      </w:r>
      <w:r>
        <w:rPr>
          <w:rFonts w:hint="eastAsia" w:ascii="Times New Roman" w:hAnsi="Times New Roman" w:eastAsia="方正黑体简体" w:cs="Times New Roman"/>
          <w:b/>
          <w:bCs/>
          <w:sz w:val="32"/>
          <w:szCs w:val="32"/>
          <w:lang w:val="en-US" w:eastAsia="zh-CN"/>
        </w:rPr>
        <w:t>2026年三季度</w:t>
      </w:r>
      <w:r>
        <w:rPr>
          <w:rFonts w:hint="default" w:ascii="Times New Roman" w:hAnsi="Times New Roman" w:eastAsia="方正黑体简体" w:cs="Times New Roman"/>
          <w:b/>
          <w:bCs/>
          <w:sz w:val="32"/>
          <w:szCs w:val="32"/>
        </w:rPr>
        <w:t>财务预算</w:t>
      </w:r>
      <w:r>
        <w:rPr>
          <w:rFonts w:hint="default" w:ascii="Times New Roman" w:hAnsi="Times New Roman" w:eastAsia="方正黑体简体" w:cs="Times New Roman"/>
          <w:b/>
          <w:bCs/>
          <w:sz w:val="32"/>
          <w:szCs w:val="32"/>
          <w:lang w:val="en-US" w:eastAsia="zh-CN"/>
        </w:rPr>
        <w:t>执行情况</w:t>
      </w:r>
    </w:p>
    <w:p w14:paraId="05694A1E">
      <w:pPr>
        <w:pStyle w:val="13"/>
        <w:keepNext w:val="0"/>
        <w:keepLines w:val="0"/>
        <w:pageBreakBefore w:val="0"/>
        <w:widowControl w:val="0"/>
        <w:kinsoku/>
        <w:wordWrap/>
        <w:overflowPunct/>
        <w:topLinePunct w:val="0"/>
        <w:bidi w:val="0"/>
        <w:spacing w:line="600" w:lineRule="exact"/>
        <w:ind w:firstLine="643" w:firstLineChars="200"/>
        <w:jc w:val="both"/>
        <w:textAlignment w:val="auto"/>
        <w:rPr>
          <w:rFonts w:hint="eastAsia" w:ascii="Times New Roman" w:hAnsi="Times New Roman" w:eastAsia="方正仿宋简体" w:cs="方正仿宋简体"/>
          <w:b/>
          <w:bCs/>
          <w:color w:val="auto"/>
          <w:kern w:val="2"/>
          <w:sz w:val="32"/>
          <w:szCs w:val="32"/>
        </w:rPr>
      </w:pPr>
      <w:r>
        <w:rPr>
          <w:rFonts w:hint="eastAsia" w:ascii="Times New Roman" w:hAnsi="Times New Roman" w:eastAsia="方正仿宋简体" w:cs="方正仿宋简体"/>
          <w:b/>
          <w:bCs/>
          <w:color w:val="auto"/>
          <w:kern w:val="2"/>
          <w:sz w:val="32"/>
          <w:szCs w:val="32"/>
          <w:lang w:val="en-US" w:eastAsia="zh-CN"/>
        </w:rPr>
        <w:t>2026年三季度</w:t>
      </w:r>
      <w:r>
        <w:rPr>
          <w:rFonts w:ascii="Times New Roman" w:hAnsi="Times New Roman" w:eastAsia="方正仿宋简体" w:cs="方正仿宋简体"/>
          <w:b/>
          <w:bCs/>
          <w:color w:val="auto"/>
          <w:kern w:val="2"/>
          <w:sz w:val="32"/>
          <w:szCs w:val="32"/>
        </w:rPr>
        <w:t>置业集团合并口径：累计实现营业收入</w:t>
      </w:r>
      <w:r>
        <w:rPr>
          <w:rFonts w:hint="eastAsia" w:ascii="Times New Roman" w:hAnsi="Times New Roman" w:eastAsia="方正仿宋简体" w:cs="方正仿宋简体"/>
          <w:b/>
          <w:bCs/>
          <w:color w:val="auto"/>
          <w:kern w:val="2"/>
          <w:sz w:val="32"/>
          <w:szCs w:val="32"/>
          <w:lang w:val="en-US" w:eastAsia="zh-CN"/>
        </w:rPr>
        <w:t>10.69亿</w:t>
      </w:r>
      <w:r>
        <w:rPr>
          <w:rFonts w:ascii="Times New Roman" w:hAnsi="Times New Roman" w:eastAsia="方正仿宋简体" w:cs="方正仿宋简体"/>
          <w:b/>
          <w:bCs/>
          <w:color w:val="auto"/>
          <w:kern w:val="2"/>
          <w:sz w:val="32"/>
          <w:szCs w:val="32"/>
        </w:rPr>
        <w:t>元，完成全年预算</w:t>
      </w:r>
      <w:r>
        <w:rPr>
          <w:rFonts w:hint="eastAsia" w:ascii="Times New Roman" w:hAnsi="Times New Roman" w:eastAsia="方正仿宋简体" w:cs="方正仿宋简体"/>
          <w:b/>
          <w:bCs/>
          <w:color w:val="auto"/>
          <w:kern w:val="2"/>
          <w:sz w:val="32"/>
          <w:szCs w:val="32"/>
          <w:lang w:val="en-US" w:eastAsia="zh-CN"/>
        </w:rPr>
        <w:t>16</w:t>
      </w:r>
      <w:r>
        <w:rPr>
          <w:rFonts w:ascii="Times New Roman" w:hAnsi="Times New Roman" w:eastAsia="方正仿宋简体" w:cs="方正仿宋简体"/>
          <w:b/>
          <w:bCs/>
          <w:color w:val="auto"/>
          <w:kern w:val="2"/>
          <w:sz w:val="32"/>
          <w:szCs w:val="32"/>
        </w:rPr>
        <w:t>亿元的</w:t>
      </w:r>
      <w:r>
        <w:rPr>
          <w:rFonts w:hint="eastAsia" w:ascii="Times New Roman" w:hAnsi="Times New Roman" w:eastAsia="方正仿宋简体" w:cs="方正仿宋简体"/>
          <w:b/>
          <w:bCs/>
          <w:color w:val="auto"/>
          <w:kern w:val="2"/>
          <w:sz w:val="32"/>
          <w:szCs w:val="32"/>
          <w:lang w:val="en-US" w:eastAsia="zh-CN"/>
        </w:rPr>
        <w:t>66.81%</w:t>
      </w:r>
      <w:r>
        <w:rPr>
          <w:rFonts w:ascii="Times New Roman" w:hAnsi="Times New Roman" w:eastAsia="方正仿宋简体" w:cs="方正仿宋简体"/>
          <w:b/>
          <w:bCs/>
          <w:color w:val="auto"/>
          <w:kern w:val="2"/>
          <w:sz w:val="32"/>
          <w:szCs w:val="32"/>
        </w:rPr>
        <w:t>；累计实现利润总额</w:t>
      </w:r>
      <w:r>
        <w:rPr>
          <w:rFonts w:hint="eastAsia" w:ascii="Times New Roman" w:hAnsi="Times New Roman" w:eastAsia="方正仿宋简体" w:cs="方正仿宋简体"/>
          <w:b/>
          <w:bCs/>
          <w:color w:val="auto"/>
          <w:kern w:val="2"/>
          <w:sz w:val="32"/>
          <w:szCs w:val="32"/>
          <w:lang w:val="en-US" w:eastAsia="zh-CN"/>
        </w:rPr>
        <w:t>0.83亿元</w:t>
      </w:r>
      <w:r>
        <w:rPr>
          <w:rFonts w:ascii="Times New Roman" w:hAnsi="Times New Roman" w:eastAsia="方正仿宋简体" w:cs="方正仿宋简体"/>
          <w:b/>
          <w:bCs/>
          <w:color w:val="auto"/>
          <w:kern w:val="2"/>
          <w:sz w:val="32"/>
          <w:szCs w:val="32"/>
        </w:rPr>
        <w:t>，完成全年预算</w:t>
      </w:r>
      <w:r>
        <w:rPr>
          <w:rFonts w:hint="eastAsia" w:ascii="Times New Roman" w:hAnsi="Times New Roman" w:eastAsia="方正仿宋简体" w:cs="方正仿宋简体"/>
          <w:b/>
          <w:bCs/>
          <w:color w:val="auto"/>
          <w:kern w:val="2"/>
          <w:sz w:val="32"/>
          <w:szCs w:val="32"/>
          <w:lang w:val="en-US" w:eastAsia="zh-CN"/>
        </w:rPr>
        <w:t>1.5</w:t>
      </w:r>
      <w:r>
        <w:rPr>
          <w:rFonts w:ascii="Times New Roman" w:hAnsi="Times New Roman" w:eastAsia="方正仿宋简体" w:cs="方正仿宋简体"/>
          <w:b/>
          <w:bCs/>
          <w:color w:val="auto"/>
          <w:kern w:val="2"/>
          <w:sz w:val="32"/>
          <w:szCs w:val="32"/>
        </w:rPr>
        <w:t>亿元的</w:t>
      </w:r>
      <w:r>
        <w:rPr>
          <w:rFonts w:hint="eastAsia" w:ascii="Times New Roman" w:hAnsi="Times New Roman" w:eastAsia="方正仿宋简体" w:cs="方正仿宋简体"/>
          <w:b/>
          <w:bCs/>
          <w:color w:val="auto"/>
          <w:kern w:val="2"/>
          <w:sz w:val="32"/>
          <w:szCs w:val="32"/>
          <w:lang w:val="en-US" w:eastAsia="zh-CN"/>
        </w:rPr>
        <w:t>55.33%</w:t>
      </w:r>
      <w:r>
        <w:rPr>
          <w:rFonts w:ascii="Times New Roman" w:hAnsi="Times New Roman" w:eastAsia="方正仿宋简体" w:cs="方正仿宋简体"/>
          <w:b/>
          <w:bCs/>
          <w:color w:val="auto"/>
          <w:kern w:val="2"/>
          <w:sz w:val="32"/>
          <w:szCs w:val="32"/>
        </w:rPr>
        <w:t>；累计实现净利润</w:t>
      </w:r>
      <w:r>
        <w:rPr>
          <w:rFonts w:hint="eastAsia" w:ascii="Times New Roman" w:hAnsi="Times New Roman" w:eastAsia="方正仿宋简体" w:cs="方正仿宋简体"/>
          <w:b/>
          <w:bCs/>
          <w:color w:val="auto"/>
          <w:kern w:val="2"/>
          <w:sz w:val="32"/>
          <w:szCs w:val="32"/>
          <w:lang w:val="en-US" w:eastAsia="zh-CN"/>
        </w:rPr>
        <w:t>0.58亿</w:t>
      </w:r>
      <w:r>
        <w:rPr>
          <w:rFonts w:ascii="Times New Roman" w:hAnsi="Times New Roman" w:eastAsia="方正仿宋简体" w:cs="方正仿宋简体"/>
          <w:b/>
          <w:bCs/>
          <w:color w:val="auto"/>
          <w:kern w:val="2"/>
          <w:sz w:val="32"/>
          <w:szCs w:val="32"/>
        </w:rPr>
        <w:t>元，完成全年预算</w:t>
      </w:r>
      <w:r>
        <w:rPr>
          <w:rFonts w:hint="eastAsia" w:ascii="Times New Roman" w:hAnsi="Times New Roman" w:eastAsia="方正仿宋简体" w:cs="方正仿宋简体"/>
          <w:b/>
          <w:bCs/>
          <w:color w:val="auto"/>
          <w:kern w:val="2"/>
          <w:sz w:val="32"/>
          <w:szCs w:val="32"/>
          <w:lang w:val="en-US" w:eastAsia="zh-CN"/>
        </w:rPr>
        <w:t>1.11亿</w:t>
      </w:r>
      <w:r>
        <w:rPr>
          <w:rFonts w:ascii="Times New Roman" w:hAnsi="Times New Roman" w:eastAsia="方正仿宋简体" w:cs="方正仿宋简体"/>
          <w:b/>
          <w:bCs/>
          <w:color w:val="auto"/>
          <w:kern w:val="2"/>
          <w:sz w:val="32"/>
          <w:szCs w:val="32"/>
        </w:rPr>
        <w:t>元的</w:t>
      </w:r>
      <w:r>
        <w:rPr>
          <w:rFonts w:hint="eastAsia" w:ascii="Times New Roman" w:hAnsi="Times New Roman" w:eastAsia="方正仿宋简体" w:cs="方正仿宋简体"/>
          <w:b/>
          <w:bCs/>
          <w:color w:val="auto"/>
          <w:kern w:val="2"/>
          <w:sz w:val="32"/>
          <w:szCs w:val="32"/>
          <w:lang w:val="en-US" w:eastAsia="zh-CN"/>
        </w:rPr>
        <w:t>52.25%</w:t>
      </w:r>
      <w:r>
        <w:rPr>
          <w:rFonts w:ascii="Times New Roman" w:hAnsi="Times New Roman" w:eastAsia="方正仿宋简体" w:cs="方正仿宋简体"/>
          <w:b/>
          <w:bCs/>
          <w:color w:val="auto"/>
          <w:kern w:val="2"/>
          <w:sz w:val="32"/>
          <w:szCs w:val="32"/>
        </w:rPr>
        <w:t>。</w:t>
      </w:r>
      <w:r>
        <w:rPr>
          <w:rFonts w:hint="eastAsia" w:ascii="Times New Roman" w:hAnsi="Times New Roman" w:eastAsia="方正仿宋简体" w:cs="方正仿宋简体"/>
          <w:b/>
          <w:bCs/>
          <w:color w:val="auto"/>
          <w:kern w:val="2"/>
          <w:sz w:val="32"/>
          <w:szCs w:val="32"/>
          <w:lang w:val="en-US" w:eastAsia="zh-CN"/>
        </w:rPr>
        <w:t>9月底</w:t>
      </w:r>
      <w:r>
        <w:rPr>
          <w:rFonts w:hint="eastAsia" w:ascii="Times New Roman" w:hAnsi="Times New Roman" w:eastAsia="方正仿宋简体" w:cs="方正仿宋简体"/>
          <w:b/>
          <w:bCs/>
          <w:color w:val="auto"/>
          <w:kern w:val="2"/>
          <w:sz w:val="32"/>
          <w:szCs w:val="32"/>
        </w:rPr>
        <w:t>资产负债率</w:t>
      </w:r>
      <w:r>
        <w:rPr>
          <w:rFonts w:hint="eastAsia" w:ascii="Times New Roman" w:hAnsi="Times New Roman" w:eastAsia="方正仿宋简体" w:cs="方正仿宋简体"/>
          <w:b/>
          <w:bCs/>
          <w:color w:val="auto"/>
          <w:kern w:val="2"/>
          <w:sz w:val="32"/>
          <w:szCs w:val="32"/>
          <w:lang w:val="en-US" w:eastAsia="zh-CN"/>
        </w:rPr>
        <w:t>78.1%</w:t>
      </w:r>
      <w:r>
        <w:rPr>
          <w:rFonts w:hint="eastAsia" w:ascii="Times New Roman" w:hAnsi="Times New Roman" w:eastAsia="方正仿宋简体" w:cs="方正仿宋简体"/>
          <w:b/>
          <w:bCs/>
          <w:color w:val="auto"/>
          <w:kern w:val="2"/>
          <w:sz w:val="32"/>
          <w:szCs w:val="32"/>
        </w:rPr>
        <w:t>，</w:t>
      </w:r>
      <w:r>
        <w:rPr>
          <w:rFonts w:hint="eastAsia" w:ascii="Times New Roman" w:hAnsi="Times New Roman" w:eastAsia="方正仿宋简体" w:cs="方正仿宋简体"/>
          <w:b/>
          <w:bCs/>
          <w:color w:val="auto"/>
          <w:kern w:val="2"/>
          <w:sz w:val="32"/>
          <w:szCs w:val="32"/>
          <w:lang w:eastAsia="zh-CN"/>
        </w:rPr>
        <w:t>较上年同期</w:t>
      </w:r>
      <w:r>
        <w:rPr>
          <w:rFonts w:hint="eastAsia" w:ascii="Times New Roman" w:hAnsi="Times New Roman" w:eastAsia="方正仿宋简体" w:cs="方正仿宋简体"/>
          <w:b/>
          <w:bCs/>
          <w:color w:val="auto"/>
          <w:kern w:val="2"/>
          <w:sz w:val="32"/>
          <w:szCs w:val="32"/>
        </w:rPr>
        <w:t>的</w:t>
      </w:r>
      <w:r>
        <w:rPr>
          <w:rFonts w:hint="eastAsia" w:ascii="Times New Roman" w:hAnsi="Times New Roman" w:eastAsia="方正仿宋简体" w:cs="方正仿宋简体"/>
          <w:b/>
          <w:bCs/>
          <w:color w:val="auto"/>
          <w:kern w:val="2"/>
          <w:sz w:val="32"/>
          <w:szCs w:val="32"/>
          <w:lang w:val="en-US" w:eastAsia="zh-CN"/>
        </w:rPr>
        <w:t>76.7%增加</w:t>
      </w:r>
      <w:r>
        <w:rPr>
          <w:rFonts w:hint="eastAsia" w:ascii="Times New Roman" w:hAnsi="Times New Roman" w:eastAsia="方正仿宋简体" w:cs="方正仿宋简体"/>
          <w:b/>
          <w:bCs/>
          <w:color w:val="auto"/>
          <w:kern w:val="2"/>
          <w:sz w:val="32"/>
          <w:szCs w:val="32"/>
        </w:rPr>
        <w:t>了</w:t>
      </w:r>
      <w:r>
        <w:rPr>
          <w:rFonts w:hint="eastAsia" w:ascii="Times New Roman" w:hAnsi="Times New Roman" w:eastAsia="方正仿宋简体" w:cs="方正仿宋简体"/>
          <w:b/>
          <w:bCs/>
          <w:color w:val="auto"/>
          <w:kern w:val="2"/>
          <w:sz w:val="32"/>
          <w:szCs w:val="32"/>
          <w:lang w:val="en-US" w:eastAsia="zh-CN"/>
        </w:rPr>
        <w:t>1.4</w:t>
      </w:r>
      <w:r>
        <w:rPr>
          <w:rFonts w:hint="eastAsia" w:ascii="Times New Roman" w:hAnsi="Times New Roman" w:eastAsia="方正仿宋简体" w:cs="方正仿宋简体"/>
          <w:b/>
          <w:bCs/>
          <w:color w:val="auto"/>
          <w:kern w:val="2"/>
          <w:sz w:val="32"/>
          <w:szCs w:val="32"/>
        </w:rPr>
        <w:t>个百分点。</w:t>
      </w:r>
      <w:bookmarkStart w:id="0" w:name="_GoBack"/>
      <w:bookmarkEnd w:id="0"/>
    </w:p>
    <w:p w14:paraId="5218B35E">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方正黑体简体" w:cs="Times New Roman"/>
          <w:b/>
          <w:bCs/>
          <w:sz w:val="32"/>
          <w:szCs w:val="32"/>
        </w:rPr>
      </w:pPr>
      <w:r>
        <w:rPr>
          <w:rFonts w:hint="eastAsia" w:ascii="Times New Roman" w:hAnsi="Times New Roman" w:eastAsia="方正黑体简体" w:cs="Times New Roman"/>
          <w:b/>
          <w:bCs/>
          <w:kern w:val="2"/>
          <w:sz w:val="32"/>
          <w:szCs w:val="32"/>
          <w:lang w:val="en-US" w:eastAsia="zh-CN" w:bidi="ar-SA"/>
        </w:rPr>
        <w:t>四、</w:t>
      </w:r>
      <w:r>
        <w:rPr>
          <w:rFonts w:hint="eastAsia" w:ascii="Times New Roman" w:hAnsi="Times New Roman" w:eastAsia="方正黑体简体" w:cs="Times New Roman"/>
          <w:b/>
          <w:bCs/>
          <w:sz w:val="32"/>
          <w:szCs w:val="32"/>
          <w:lang w:val="en-US" w:eastAsia="zh-CN"/>
        </w:rPr>
        <w:t>三季度</w:t>
      </w:r>
      <w:r>
        <w:rPr>
          <w:rFonts w:hint="default" w:ascii="Times New Roman" w:hAnsi="Times New Roman" w:eastAsia="方正黑体简体" w:cs="Times New Roman"/>
          <w:b/>
          <w:bCs/>
          <w:sz w:val="32"/>
          <w:szCs w:val="32"/>
        </w:rPr>
        <w:t>内重大事项及对企业的影响</w:t>
      </w:r>
    </w:p>
    <w:p w14:paraId="7C0A91EC">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Times New Roman" w:hAnsi="Times New Roman" w:eastAsia="方正仿宋简体" w:cs="方正仿宋简体"/>
          <w:b/>
          <w:bCs/>
          <w:color w:val="auto"/>
          <w:kern w:val="2"/>
          <w:sz w:val="32"/>
          <w:szCs w:val="32"/>
        </w:rPr>
      </w:pPr>
      <w:r>
        <w:rPr>
          <w:rFonts w:hint="eastAsia" w:ascii="Times New Roman" w:hAnsi="Times New Roman" w:eastAsia="方正仿宋简体" w:cs="方正仿宋简体"/>
          <w:b/>
          <w:bCs/>
          <w:sz w:val="32"/>
          <w:szCs w:val="32"/>
          <w:lang w:val="en-US" w:eastAsia="zh-CN"/>
        </w:rPr>
        <w:t>无。</w:t>
      </w:r>
    </w:p>
    <w:p w14:paraId="3E6690F3">
      <w:pPr>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rPr>
          <w:rFonts w:hint="default" w:ascii="Times New Roman" w:hAnsi="Times New Roman" w:eastAsia="方正黑体简体" w:cs="Times New Roman"/>
          <w:b/>
          <w:bCs/>
          <w:sz w:val="32"/>
          <w:szCs w:val="32"/>
          <w:lang w:val="en-US" w:eastAsia="zh-CN"/>
        </w:rPr>
      </w:pPr>
    </w:p>
    <w:sectPr>
      <w:pgSz w:w="11906" w:h="16838"/>
      <w:pgMar w:top="2098" w:right="1474" w:bottom="1984"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方正黑体简体">
    <w:panose1 w:val="02010601030101010101"/>
    <w:charset w:val="86"/>
    <w:family w:val="auto"/>
    <w:pitch w:val="default"/>
    <w:sig w:usb0="00000001" w:usb1="080E0000" w:usb2="00000000" w:usb3="00000000" w:csb0="00040000" w:csb1="00000000"/>
  </w:font>
  <w:font w:name="方正仿宋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ZlZWY1MTZiMTkyZjJiYmE4ZmY2NmQ4YzIyODA0ODMifQ=="/>
  </w:docVars>
  <w:rsids>
    <w:rsidRoot w:val="13CC2444"/>
    <w:rsid w:val="001410B8"/>
    <w:rsid w:val="00332EF0"/>
    <w:rsid w:val="003F77BE"/>
    <w:rsid w:val="007E3428"/>
    <w:rsid w:val="007E5379"/>
    <w:rsid w:val="00AC6AB4"/>
    <w:rsid w:val="00BC3130"/>
    <w:rsid w:val="00C455E3"/>
    <w:rsid w:val="00C65B77"/>
    <w:rsid w:val="00D321DA"/>
    <w:rsid w:val="00EA422D"/>
    <w:rsid w:val="00FC157F"/>
    <w:rsid w:val="03F66D22"/>
    <w:rsid w:val="04F419D9"/>
    <w:rsid w:val="06DF3B7E"/>
    <w:rsid w:val="074D3623"/>
    <w:rsid w:val="09EC724C"/>
    <w:rsid w:val="0D052EAD"/>
    <w:rsid w:val="0D6D5D2C"/>
    <w:rsid w:val="10090E5D"/>
    <w:rsid w:val="103E05DD"/>
    <w:rsid w:val="13CC2444"/>
    <w:rsid w:val="15D840D8"/>
    <w:rsid w:val="17852965"/>
    <w:rsid w:val="180477A4"/>
    <w:rsid w:val="19560A59"/>
    <w:rsid w:val="1C496371"/>
    <w:rsid w:val="1C905CD8"/>
    <w:rsid w:val="215772E5"/>
    <w:rsid w:val="21EA12B6"/>
    <w:rsid w:val="26A73075"/>
    <w:rsid w:val="29D47C5C"/>
    <w:rsid w:val="2A4822AF"/>
    <w:rsid w:val="2B96677B"/>
    <w:rsid w:val="2C2E4FC1"/>
    <w:rsid w:val="2D9F5C7A"/>
    <w:rsid w:val="33A670F3"/>
    <w:rsid w:val="35D9381B"/>
    <w:rsid w:val="35FA4023"/>
    <w:rsid w:val="373830F8"/>
    <w:rsid w:val="3F6A64F8"/>
    <w:rsid w:val="40E1715D"/>
    <w:rsid w:val="419C0824"/>
    <w:rsid w:val="440F4D37"/>
    <w:rsid w:val="44244964"/>
    <w:rsid w:val="4D16313C"/>
    <w:rsid w:val="50DE6667"/>
    <w:rsid w:val="565250AC"/>
    <w:rsid w:val="57404164"/>
    <w:rsid w:val="59EC48C6"/>
    <w:rsid w:val="5C83014D"/>
    <w:rsid w:val="5D75511C"/>
    <w:rsid w:val="5DE657BE"/>
    <w:rsid w:val="5E145AF2"/>
    <w:rsid w:val="5F372BCB"/>
    <w:rsid w:val="5F412942"/>
    <w:rsid w:val="5F5D7283"/>
    <w:rsid w:val="60785E58"/>
    <w:rsid w:val="678437B5"/>
    <w:rsid w:val="6CBF5EAB"/>
    <w:rsid w:val="6CF238C8"/>
    <w:rsid w:val="70C1078D"/>
    <w:rsid w:val="72D94FAB"/>
    <w:rsid w:val="7451111C"/>
    <w:rsid w:val="75D26FF0"/>
    <w:rsid w:val="775A30EF"/>
    <w:rsid w:val="7FC25A17"/>
    <w:rsid w:val="7FC82E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style>
  <w:style w:type="paragraph" w:styleId="3">
    <w:name w:val="Body Text Indent"/>
    <w:basedOn w:val="1"/>
    <w:unhideWhenUsed/>
    <w:qFormat/>
    <w:uiPriority w:val="99"/>
    <w:pPr>
      <w:ind w:left="420" w:leftChars="200"/>
    </w:pPr>
  </w:style>
  <w:style w:type="paragraph" w:styleId="4">
    <w:name w:val="footer"/>
    <w:basedOn w:val="1"/>
    <w:link w:val="12"/>
    <w:qFormat/>
    <w:uiPriority w:val="0"/>
    <w:pPr>
      <w:tabs>
        <w:tab w:val="center" w:pos="4153"/>
        <w:tab w:val="right" w:pos="8306"/>
      </w:tabs>
      <w:snapToGrid w:val="0"/>
      <w:jc w:val="left"/>
    </w:pPr>
    <w:rPr>
      <w:sz w:val="18"/>
      <w:szCs w:val="18"/>
    </w:rPr>
  </w:style>
  <w:style w:type="paragraph" w:styleId="5">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paragraph" w:styleId="6">
    <w:name w:val="Body Text First Indent"/>
    <w:basedOn w:val="2"/>
    <w:qFormat/>
    <w:uiPriority w:val="0"/>
    <w:pPr>
      <w:ind w:firstLine="420" w:firstLineChars="100"/>
    </w:pPr>
  </w:style>
  <w:style w:type="paragraph" w:styleId="7">
    <w:name w:val="Body Text First Indent 2"/>
    <w:basedOn w:val="3"/>
    <w:next w:val="6"/>
    <w:qFormat/>
    <w:uiPriority w:val="99"/>
    <w:pPr>
      <w:ind w:firstLine="420" w:firstLineChars="200"/>
    </w:p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1">
    <w:name w:val="页眉 字符"/>
    <w:basedOn w:val="10"/>
    <w:link w:val="5"/>
    <w:qFormat/>
    <w:uiPriority w:val="0"/>
    <w:rPr>
      <w:kern w:val="2"/>
      <w:sz w:val="18"/>
      <w:szCs w:val="18"/>
    </w:rPr>
  </w:style>
  <w:style w:type="character" w:customStyle="1" w:styleId="12">
    <w:name w:val="页脚 字符"/>
    <w:basedOn w:val="10"/>
    <w:link w:val="4"/>
    <w:qFormat/>
    <w:uiPriority w:val="0"/>
    <w:rPr>
      <w:kern w:val="2"/>
      <w:sz w:val="18"/>
      <w:szCs w:val="18"/>
    </w:rPr>
  </w:style>
  <w:style w:type="paragraph" w:customStyle="1" w:styleId="13">
    <w:name w:val="Default"/>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526</Words>
  <Characters>535</Characters>
  <Lines>5</Lines>
  <Paragraphs>1</Paragraphs>
  <TotalTime>1</TotalTime>
  <ScaleCrop>false</ScaleCrop>
  <LinksUpToDate>false</LinksUpToDate>
  <CharactersWithSpaces>539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2022-06-30T02:09:00Z</dcterms:created>
  <dc:creator>Mr.X</dc:creator>
  <cp:lastModifiedBy>王海鹏</cp:lastModifiedBy>
  <dcterms:modified xsi:type="dcterms:W3CDTF">2026-10-27T03:02:09Z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3C81A59EBE39409D8A06B2F46023B18A_13</vt:lpwstr>
  </property>
  <property fmtid="{D5CDD505-2E9C-101B-9397-08002B2CF9AE}" pid="4" name="KSOTemplateDocerSaveRecord">
    <vt:lpwstr>eyJoZGlkIjoiYzgzZDE3YjdjMWRhMTJhYmNhNjIwMDE0ZjRiMDc0YWEiLCJ1c2VySWQiOiIzNDI0Nzc0MDgifQ==</vt:lpwstr>
  </property>
</Properties>
</file>